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6367" w14:textId="77777777" w:rsidR="00626B48" w:rsidRDefault="00626B48">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626B48" w14:paraId="46423216" w14:textId="77777777">
        <w:tc>
          <w:tcPr>
            <w:tcW w:w="9506" w:type="dxa"/>
            <w:tcBorders>
              <w:top w:val="none" w:sz="0" w:space="0" w:color="FFFFFF"/>
              <w:left w:val="none" w:sz="0" w:space="0" w:color="FFFFFF"/>
              <w:bottom w:val="none" w:sz="0" w:space="0" w:color="FFFFFF"/>
              <w:right w:val="none" w:sz="0" w:space="0" w:color="FFFFFF"/>
            </w:tcBorders>
            <w:shd w:val="clear" w:color="auto" w:fill="6D2E46"/>
            <w:tcMar>
              <w:top w:w="160" w:type="dxa"/>
              <w:left w:w="240" w:type="dxa"/>
              <w:bottom w:w="160" w:type="dxa"/>
              <w:right w:w="240" w:type="dxa"/>
            </w:tcMar>
          </w:tcPr>
          <w:p w14:paraId="60C92A87" w14:textId="5E8D3936" w:rsidR="00626B48" w:rsidRDefault="00000000">
            <w:pPr>
              <w:spacing w:after="60"/>
            </w:pPr>
            <w:r>
              <w:rPr>
                <w:rFonts w:ascii="Arial" w:eastAsia="Arial" w:hAnsi="Arial" w:cs="Arial"/>
                <w:b/>
                <w:bCs/>
                <w:color w:val="FFFFFF"/>
                <w:spacing w:val="60"/>
                <w:sz w:val="18"/>
                <w:szCs w:val="18"/>
              </w:rPr>
              <w:t>MODULE F0</w:t>
            </w:r>
            <w:r w:rsidR="00E173FB">
              <w:rPr>
                <w:rFonts w:ascii="Arial" w:eastAsia="Arial" w:hAnsi="Arial" w:cs="Arial"/>
                <w:b/>
                <w:bCs/>
                <w:color w:val="FFFFFF"/>
                <w:spacing w:val="60"/>
                <w:sz w:val="18"/>
                <w:szCs w:val="18"/>
              </w:rPr>
              <w:t>3</w:t>
            </w:r>
            <w:r>
              <w:rPr>
                <w:rFonts w:ascii="Arial" w:eastAsia="Arial" w:hAnsi="Arial" w:cs="Arial"/>
                <w:b/>
                <w:bCs/>
                <w:color w:val="FFFFFF"/>
                <w:spacing w:val="60"/>
                <w:sz w:val="18"/>
                <w:szCs w:val="18"/>
              </w:rPr>
              <w:t xml:space="preserve">  —  NIVEAU 1  —  1 JOURNÉE</w:t>
            </w:r>
          </w:p>
          <w:p w14:paraId="20715B28" w14:textId="77777777" w:rsidR="00626B48" w:rsidRDefault="00000000">
            <w:pPr>
              <w:spacing w:after="60"/>
            </w:pPr>
            <w:r>
              <w:rPr>
                <w:rFonts w:ascii="Arial" w:eastAsia="Arial" w:hAnsi="Arial" w:cs="Arial"/>
                <w:b/>
                <w:bCs/>
                <w:color w:val="FFFFFF"/>
                <w:sz w:val="38"/>
                <w:szCs w:val="38"/>
              </w:rPr>
              <w:t>Qualité de vie au travail (QVT)</w:t>
            </w:r>
          </w:p>
          <w:p w14:paraId="37C2C667" w14:textId="77777777" w:rsidR="00626B48" w:rsidRDefault="00000000">
            <w:r>
              <w:rPr>
                <w:rFonts w:ascii="Arial" w:eastAsia="Arial" w:hAnsi="Arial" w:cs="Arial"/>
                <w:color w:val="02C39A"/>
                <w:sz w:val="22"/>
                <w:szCs w:val="22"/>
              </w:rPr>
              <w:t>Un levier puissant de recrutement et de fidélisation</w:t>
            </w:r>
          </w:p>
        </w:tc>
      </w:tr>
    </w:tbl>
    <w:p w14:paraId="74885992" w14:textId="77777777" w:rsidR="00626B48" w:rsidRDefault="00626B48">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68"/>
        <w:gridCol w:w="3169"/>
        <w:gridCol w:w="3169"/>
      </w:tblGrid>
      <w:tr w:rsidR="00626B48" w14:paraId="56898C90" w14:textId="77777777">
        <w:trPr>
          <w:tblHeader/>
        </w:trPr>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2DE11F3D" w14:textId="77777777" w:rsidR="00626B48" w:rsidRDefault="00000000">
            <w:pPr>
              <w:jc w:val="center"/>
            </w:pPr>
            <w:proofErr w:type="gramStart"/>
            <w:r>
              <w:rPr>
                <w:rFonts w:ascii="Arial" w:eastAsia="Arial" w:hAnsi="Arial" w:cs="Arial"/>
                <w:b/>
                <w:bCs/>
                <w:color w:val="02C39A"/>
              </w:rPr>
              <w:t>👥  Public</w:t>
            </w:r>
            <w:proofErr w:type="gramEnd"/>
            <w:r>
              <w:rPr>
                <w:rFonts w:ascii="Arial" w:eastAsia="Arial" w:hAnsi="Arial" w:cs="Arial"/>
                <w:b/>
                <w:bCs/>
                <w:color w:val="02C39A"/>
              </w:rPr>
              <w:t xml:space="preserve"> cible</w:t>
            </w:r>
          </w:p>
        </w:tc>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307841E6" w14:textId="77777777" w:rsidR="00626B48" w:rsidRDefault="00000000">
            <w:pPr>
              <w:jc w:val="center"/>
            </w:pPr>
            <w:r>
              <w:rPr>
                <w:rFonts w:ascii="Arial" w:eastAsia="Arial" w:hAnsi="Arial" w:cs="Arial"/>
                <w:b/>
                <w:bCs/>
                <w:color w:val="02C39A"/>
              </w:rPr>
              <w:t>⏱  Durée</w:t>
            </w:r>
          </w:p>
        </w:tc>
        <w:tc>
          <w:tcPr>
            <w:tcW w:w="3168" w:type="dxa"/>
            <w:tcBorders>
              <w:top w:val="single" w:sz="1" w:space="0" w:color="CCCCCC"/>
              <w:left w:val="single" w:sz="1" w:space="0" w:color="CCCCCC"/>
              <w:bottom w:val="single" w:sz="1" w:space="0" w:color="CCCCCC"/>
              <w:right w:val="single" w:sz="1" w:space="0" w:color="CCCCCC"/>
            </w:tcBorders>
            <w:shd w:val="clear" w:color="auto" w:fill="0A2342"/>
            <w:tcMar>
              <w:top w:w="100" w:type="dxa"/>
              <w:left w:w="140" w:type="dxa"/>
              <w:bottom w:w="100" w:type="dxa"/>
              <w:right w:w="140" w:type="dxa"/>
            </w:tcMar>
          </w:tcPr>
          <w:p w14:paraId="1084ED20" w14:textId="77777777" w:rsidR="00626B48" w:rsidRDefault="00000000">
            <w:pPr>
              <w:jc w:val="center"/>
            </w:pPr>
            <w:proofErr w:type="gramStart"/>
            <w:r>
              <w:rPr>
                <w:rFonts w:ascii="Arial" w:eastAsia="Arial" w:hAnsi="Arial" w:cs="Arial"/>
                <w:b/>
                <w:bCs/>
                <w:color w:val="02C39A"/>
              </w:rPr>
              <w:t>💶  Tarif</w:t>
            </w:r>
            <w:proofErr w:type="gramEnd"/>
          </w:p>
        </w:tc>
      </w:tr>
      <w:tr w:rsidR="00626B48" w14:paraId="7F5C7EBF" w14:textId="77777777">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75E24308" w14:textId="77777777" w:rsidR="00626B48" w:rsidRDefault="00000000">
            <w:pPr>
              <w:jc w:val="center"/>
            </w:pPr>
            <w:r>
              <w:rPr>
                <w:rFonts w:ascii="Arial" w:eastAsia="Arial" w:hAnsi="Arial" w:cs="Arial"/>
                <w:color w:val="64748B"/>
                <w:sz w:val="18"/>
                <w:szCs w:val="18"/>
              </w:rPr>
              <w:t>DRH, DAM, Direction générale Responsables QVT &amp; bien-être</w:t>
            </w:r>
          </w:p>
          <w:p w14:paraId="04327821" w14:textId="77777777" w:rsidR="00626B48" w:rsidRDefault="00000000">
            <w:pPr>
              <w:jc w:val="center"/>
            </w:pPr>
            <w:r>
              <w:rPr>
                <w:rFonts w:ascii="Arial" w:eastAsia="Arial" w:hAnsi="Arial" w:cs="Arial"/>
                <w:b/>
                <w:bCs/>
                <w:color w:val="0A2342"/>
                <w:sz w:val="22"/>
                <w:szCs w:val="22"/>
              </w:rPr>
              <w:t>Responsables QVT &amp; bien-être</w:t>
            </w:r>
          </w:p>
        </w:tc>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1F3744F6" w14:textId="77777777" w:rsidR="00626B48" w:rsidRDefault="00000000">
            <w:pPr>
              <w:jc w:val="center"/>
            </w:pPr>
            <w:r>
              <w:rPr>
                <w:rFonts w:ascii="Arial" w:eastAsia="Arial" w:hAnsi="Arial" w:cs="Arial"/>
                <w:color w:val="64748B"/>
                <w:sz w:val="18"/>
                <w:szCs w:val="18"/>
              </w:rPr>
              <w:t>1 Journée complète</w:t>
            </w:r>
          </w:p>
          <w:p w14:paraId="265D42F9" w14:textId="77777777" w:rsidR="00626B48" w:rsidRDefault="00000000">
            <w:pPr>
              <w:jc w:val="center"/>
            </w:pPr>
            <w:r>
              <w:rPr>
                <w:rFonts w:ascii="Arial" w:eastAsia="Arial" w:hAnsi="Arial" w:cs="Arial"/>
                <w:b/>
                <w:bCs/>
                <w:color w:val="6D2E46"/>
                <w:sz w:val="22"/>
                <w:szCs w:val="22"/>
              </w:rPr>
              <w:t>7 heures</w:t>
            </w:r>
          </w:p>
        </w:tc>
        <w:tc>
          <w:tcPr>
            <w:tcW w:w="3168"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40" w:type="dxa"/>
              <w:bottom w:w="100" w:type="dxa"/>
              <w:right w:w="140" w:type="dxa"/>
            </w:tcMar>
          </w:tcPr>
          <w:p w14:paraId="62DF075F" w14:textId="77777777" w:rsidR="00626B48" w:rsidRDefault="00000000">
            <w:pPr>
              <w:jc w:val="center"/>
            </w:pPr>
            <w:r>
              <w:rPr>
                <w:rFonts w:ascii="Arial" w:eastAsia="Arial" w:hAnsi="Arial" w:cs="Arial"/>
                <w:color w:val="64748B"/>
                <w:sz w:val="18"/>
                <w:szCs w:val="18"/>
              </w:rPr>
              <w:t>Par participant</w:t>
            </w:r>
          </w:p>
          <w:p w14:paraId="212ABB34" w14:textId="77777777" w:rsidR="00626B48" w:rsidRDefault="00000000">
            <w:pPr>
              <w:jc w:val="center"/>
            </w:pPr>
            <w:r>
              <w:rPr>
                <w:rFonts w:ascii="Arial" w:eastAsia="Arial" w:hAnsi="Arial" w:cs="Arial"/>
                <w:b/>
                <w:bCs/>
                <w:color w:val="6D2E46"/>
                <w:sz w:val="22"/>
                <w:szCs w:val="22"/>
              </w:rPr>
              <w:t>1 490 € HT</w:t>
            </w:r>
          </w:p>
        </w:tc>
      </w:tr>
    </w:tbl>
    <w:p w14:paraId="1A7762D2" w14:textId="77777777" w:rsidR="00626B48" w:rsidRDefault="00626B48">
      <w:pPr>
        <w:spacing w:before="40" w:after="40"/>
      </w:pPr>
    </w:p>
    <w:p w14:paraId="7116C84F" w14:textId="77777777" w:rsidR="00626B48" w:rsidRDefault="00000000" w:rsidP="00440BDD">
      <w:pPr>
        <w:pBdr>
          <w:bottom w:val="single" w:sz="3" w:space="0" w:color="6D2E46"/>
        </w:pBdr>
        <w:spacing w:before="360" w:after="120"/>
        <w:jc w:val="both"/>
      </w:pPr>
      <w:r>
        <w:rPr>
          <w:rFonts w:ascii="Arial" w:eastAsia="Arial" w:hAnsi="Arial" w:cs="Arial"/>
          <w:b/>
          <w:bCs/>
          <w:color w:val="0A2342"/>
          <w:sz w:val="28"/>
          <w:szCs w:val="28"/>
        </w:rPr>
        <w:t>Présentation de la formation</w:t>
      </w:r>
    </w:p>
    <w:p w14:paraId="120F7D7B" w14:textId="77777777" w:rsidR="00626B48" w:rsidRDefault="00000000" w:rsidP="00440BDD">
      <w:pPr>
        <w:spacing w:before="60" w:after="60"/>
        <w:jc w:val="both"/>
      </w:pPr>
      <w:r>
        <w:rPr>
          <w:rFonts w:ascii="Arial" w:eastAsia="Arial" w:hAnsi="Arial" w:cs="Arial"/>
          <w:color w:val="333333"/>
          <w:sz w:val="22"/>
          <w:szCs w:val="22"/>
        </w:rPr>
        <w:t>La qualité de vie au travail n'est plus un luxe — c'est un critère de choix déterminant pour les médecins qui sélectionnent leur établissement. Dans un contexte de pénurie médicale, un hôpital qui investit réellement dans la QVT de ses équipes se distingue et fidélise durablement ses praticiens.</w:t>
      </w:r>
    </w:p>
    <w:p w14:paraId="774D980B" w14:textId="77777777" w:rsidR="00626B48" w:rsidRDefault="00000000" w:rsidP="00440BDD">
      <w:pPr>
        <w:spacing w:before="60" w:after="60"/>
        <w:jc w:val="both"/>
      </w:pPr>
      <w:r>
        <w:rPr>
          <w:rFonts w:ascii="Arial" w:eastAsia="Arial" w:hAnsi="Arial" w:cs="Arial"/>
          <w:color w:val="333333"/>
          <w:sz w:val="22"/>
          <w:szCs w:val="22"/>
        </w:rPr>
        <w:t>Cette journée intensive vous donne les clés pour comprendre les attentes réelles des médecins, identifier les actions à fort impact et intégrer la QVT dans votre stratégie RH globale.</w:t>
      </w:r>
    </w:p>
    <w:p w14:paraId="76CEDF52" w14:textId="77777777" w:rsidR="00626B48" w:rsidRDefault="00626B48" w:rsidP="00440BDD">
      <w:pPr>
        <w:spacing w:before="40" w:after="40"/>
        <w:jc w:val="both"/>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626B48" w14:paraId="7F53FD94" w14:textId="77777777">
        <w:tc>
          <w:tcPr>
            <w:tcW w:w="9506" w:type="dxa"/>
            <w:tcBorders>
              <w:top w:val="single" w:sz="4" w:space="0" w:color="6D2E46"/>
              <w:left w:val="single" w:sz="12" w:space="0" w:color="6D2E46"/>
              <w:bottom w:val="single" w:sz="4" w:space="0" w:color="6D2E46"/>
              <w:right w:val="none" w:sz="0" w:space="0" w:color="FFFFFF"/>
            </w:tcBorders>
            <w:shd w:val="clear" w:color="auto" w:fill="E8F8F5"/>
            <w:tcMar>
              <w:top w:w="120" w:type="dxa"/>
              <w:left w:w="180" w:type="dxa"/>
              <w:bottom w:w="120" w:type="dxa"/>
              <w:right w:w="180" w:type="dxa"/>
            </w:tcMar>
          </w:tcPr>
          <w:p w14:paraId="795A3A42" w14:textId="77777777" w:rsidR="00626B48" w:rsidRDefault="00000000" w:rsidP="00440BDD">
            <w:pPr>
              <w:spacing w:after="60"/>
              <w:jc w:val="both"/>
            </w:pPr>
            <w:proofErr w:type="gramStart"/>
            <w:r>
              <w:rPr>
                <w:rFonts w:ascii="Arial" w:eastAsia="Arial" w:hAnsi="Arial" w:cs="Arial"/>
                <w:b/>
                <w:bCs/>
                <w:color w:val="0A2342"/>
                <w:sz w:val="22"/>
                <w:szCs w:val="22"/>
              </w:rPr>
              <w:t>💡  QVT</w:t>
            </w:r>
            <w:proofErr w:type="gramEnd"/>
            <w:r>
              <w:rPr>
                <w:rFonts w:ascii="Arial" w:eastAsia="Arial" w:hAnsi="Arial" w:cs="Arial"/>
                <w:b/>
                <w:bCs/>
                <w:color w:val="0A2342"/>
                <w:sz w:val="22"/>
                <w:szCs w:val="22"/>
              </w:rPr>
              <w:t xml:space="preserve"> et fidélisation : le lien direct</w:t>
            </w:r>
          </w:p>
          <w:p w14:paraId="1579DE5B" w14:textId="77777777" w:rsidR="00626B48" w:rsidRDefault="00000000" w:rsidP="00440BDD">
            <w:pPr>
              <w:jc w:val="both"/>
            </w:pPr>
            <w:r>
              <w:rPr>
                <w:rFonts w:ascii="Arial" w:eastAsia="Arial" w:hAnsi="Arial" w:cs="Arial"/>
                <w:color w:val="333333"/>
                <w:sz w:val="22"/>
                <w:szCs w:val="22"/>
              </w:rPr>
              <w:t>Un médecin qui se sent bien dans son établissement a 3 fois moins de risques de partir dans les 2 premières années. Investir dans la QVT, c'est rentabiliser chaque recrutement.</w:t>
            </w:r>
          </w:p>
        </w:tc>
      </w:tr>
    </w:tbl>
    <w:p w14:paraId="543423A1" w14:textId="77777777" w:rsidR="00626B48" w:rsidRDefault="00626B48">
      <w:pPr>
        <w:spacing w:before="40" w:after="40"/>
      </w:pPr>
    </w:p>
    <w:p w14:paraId="6F47C3E8" w14:textId="77777777" w:rsidR="00626B48" w:rsidRDefault="00000000">
      <w:pPr>
        <w:pBdr>
          <w:bottom w:val="single" w:sz="3" w:space="0" w:color="6D2E46"/>
        </w:pBdr>
        <w:spacing w:before="360" w:after="120"/>
      </w:pPr>
      <w:r>
        <w:rPr>
          <w:rFonts w:ascii="Arial" w:eastAsia="Arial" w:hAnsi="Arial" w:cs="Arial"/>
          <w:b/>
          <w:bCs/>
          <w:color w:val="0A2342"/>
          <w:sz w:val="28"/>
          <w:szCs w:val="28"/>
        </w:rPr>
        <w:t>Objectifs pédagogiques</w:t>
      </w:r>
    </w:p>
    <w:p w14:paraId="2F33951E" w14:textId="77777777" w:rsidR="00626B48" w:rsidRDefault="00000000">
      <w:pPr>
        <w:spacing w:before="60" w:after="60"/>
      </w:pPr>
      <w:r>
        <w:rPr>
          <w:rFonts w:ascii="Arial" w:eastAsia="Arial" w:hAnsi="Arial" w:cs="Arial"/>
          <w:color w:val="333333"/>
          <w:sz w:val="22"/>
          <w:szCs w:val="22"/>
        </w:rPr>
        <w:t>À l'issue de cette formation, vous serez capable de :</w:t>
      </w:r>
    </w:p>
    <w:p w14:paraId="68EC60B6" w14:textId="77777777" w:rsidR="00626B48" w:rsidRDefault="00000000">
      <w:pPr>
        <w:pStyle w:val="Paragraphedeliste"/>
        <w:numPr>
          <w:ilvl w:val="0"/>
          <w:numId w:val="2"/>
        </w:numPr>
        <w:spacing w:before="60" w:after="60"/>
      </w:pPr>
      <w:r>
        <w:rPr>
          <w:rFonts w:ascii="Arial" w:eastAsia="Arial" w:hAnsi="Arial" w:cs="Arial"/>
          <w:color w:val="333333"/>
          <w:sz w:val="22"/>
          <w:szCs w:val="22"/>
        </w:rPr>
        <w:t>Comprendre les attentes spécifiques des médecins en matière de qualité de vie au travail en 2025</w:t>
      </w:r>
    </w:p>
    <w:p w14:paraId="4F470487" w14:textId="77777777" w:rsidR="00626B48" w:rsidRDefault="00000000">
      <w:pPr>
        <w:pStyle w:val="Paragraphedeliste"/>
        <w:numPr>
          <w:ilvl w:val="0"/>
          <w:numId w:val="2"/>
        </w:numPr>
        <w:spacing w:before="60" w:after="60"/>
      </w:pPr>
      <w:r>
        <w:rPr>
          <w:rFonts w:ascii="Arial" w:eastAsia="Arial" w:hAnsi="Arial" w:cs="Arial"/>
          <w:color w:val="333333"/>
          <w:sz w:val="22"/>
          <w:szCs w:val="22"/>
        </w:rPr>
        <w:t>Identifier les facteurs de QVT à fort impact dans un contexte hospitalier</w:t>
      </w:r>
    </w:p>
    <w:p w14:paraId="728583C9" w14:textId="77777777" w:rsidR="00626B48" w:rsidRDefault="00000000">
      <w:pPr>
        <w:pStyle w:val="Paragraphedeliste"/>
        <w:numPr>
          <w:ilvl w:val="0"/>
          <w:numId w:val="2"/>
        </w:numPr>
        <w:spacing w:before="60" w:after="60"/>
      </w:pPr>
      <w:r>
        <w:rPr>
          <w:rFonts w:ascii="Arial" w:eastAsia="Arial" w:hAnsi="Arial" w:cs="Arial"/>
          <w:color w:val="333333"/>
          <w:sz w:val="22"/>
          <w:szCs w:val="22"/>
        </w:rPr>
        <w:t>Évaluer l'état actuel de la QVT dans son établissement (diagnostic rapide)</w:t>
      </w:r>
    </w:p>
    <w:p w14:paraId="071DA092" w14:textId="77777777" w:rsidR="00626B48" w:rsidRDefault="00000000">
      <w:pPr>
        <w:pStyle w:val="Paragraphedeliste"/>
        <w:numPr>
          <w:ilvl w:val="0"/>
          <w:numId w:val="2"/>
        </w:numPr>
        <w:spacing w:before="60" w:after="60"/>
      </w:pPr>
      <w:r>
        <w:rPr>
          <w:rFonts w:ascii="Arial" w:eastAsia="Arial" w:hAnsi="Arial" w:cs="Arial"/>
          <w:color w:val="333333"/>
          <w:sz w:val="22"/>
          <w:szCs w:val="22"/>
        </w:rPr>
        <w:t>Concevoir des actions QVT concrètes, réalistes et à budget maîtrisé</w:t>
      </w:r>
    </w:p>
    <w:p w14:paraId="16A5BFC2" w14:textId="77777777" w:rsidR="00626B48" w:rsidRDefault="00000000">
      <w:pPr>
        <w:pStyle w:val="Paragraphedeliste"/>
        <w:numPr>
          <w:ilvl w:val="0"/>
          <w:numId w:val="2"/>
        </w:numPr>
        <w:spacing w:before="60" w:after="60"/>
      </w:pPr>
      <w:r>
        <w:rPr>
          <w:rFonts w:ascii="Arial" w:eastAsia="Arial" w:hAnsi="Arial" w:cs="Arial"/>
          <w:color w:val="333333"/>
          <w:sz w:val="22"/>
          <w:szCs w:val="22"/>
        </w:rPr>
        <w:t>Intégrer la QVT dans la stratégie RH et la marque employeur de l'établissement</w:t>
      </w:r>
    </w:p>
    <w:p w14:paraId="6FBA2A39" w14:textId="77777777" w:rsidR="00626B48" w:rsidRDefault="00000000">
      <w:pPr>
        <w:pStyle w:val="Paragraphedeliste"/>
        <w:numPr>
          <w:ilvl w:val="0"/>
          <w:numId w:val="2"/>
        </w:numPr>
        <w:spacing w:before="60" w:after="60"/>
      </w:pPr>
      <w:r>
        <w:rPr>
          <w:rFonts w:ascii="Arial" w:eastAsia="Arial" w:hAnsi="Arial" w:cs="Arial"/>
          <w:color w:val="333333"/>
          <w:sz w:val="22"/>
          <w:szCs w:val="22"/>
        </w:rPr>
        <w:t>Mesurer l'impact des actions QVT sur le recrutement et la fidélisation</w:t>
      </w:r>
    </w:p>
    <w:p w14:paraId="53F2C81D" w14:textId="77777777" w:rsidR="00626B48" w:rsidRDefault="00626B48">
      <w:pPr>
        <w:spacing w:before="40" w:after="40"/>
      </w:pPr>
    </w:p>
    <w:p w14:paraId="23F3E0AC" w14:textId="77777777" w:rsidR="00626B48" w:rsidRDefault="00000000">
      <w:pPr>
        <w:pBdr>
          <w:bottom w:val="single" w:sz="3" w:space="0" w:color="6D2E46"/>
        </w:pBdr>
        <w:spacing w:before="360" w:after="120"/>
      </w:pPr>
      <w:r>
        <w:rPr>
          <w:rFonts w:ascii="Arial" w:eastAsia="Arial" w:hAnsi="Arial" w:cs="Arial"/>
          <w:b/>
          <w:bCs/>
          <w:color w:val="0A2342"/>
          <w:sz w:val="28"/>
          <w:szCs w:val="28"/>
        </w:rPr>
        <w:t>Prérequis &amp; niveau attendu</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626B48" w14:paraId="1EB5D083" w14:textId="77777777" w:rsidTr="00440BDD">
        <w:trPr>
          <w:trHeight w:val="691"/>
        </w:trPr>
        <w:tc>
          <w:tcPr>
            <w:tcW w:w="9506" w:type="dxa"/>
            <w:tcBorders>
              <w:top w:val="single" w:sz="4" w:space="0" w:color="6D2E46"/>
              <w:left w:val="single" w:sz="12" w:space="0" w:color="6D2E46"/>
              <w:bottom w:val="single" w:sz="4" w:space="0" w:color="6D2E46"/>
              <w:right w:val="none" w:sz="0" w:space="0" w:color="FFFFFF"/>
            </w:tcBorders>
            <w:shd w:val="clear" w:color="auto" w:fill="E8F8F5"/>
            <w:tcMar>
              <w:top w:w="120" w:type="dxa"/>
              <w:left w:w="180" w:type="dxa"/>
              <w:bottom w:w="120" w:type="dxa"/>
              <w:right w:w="180" w:type="dxa"/>
            </w:tcMar>
          </w:tcPr>
          <w:p w14:paraId="5DFEDBAF" w14:textId="77777777" w:rsidR="00626B48" w:rsidRDefault="00000000" w:rsidP="00440BDD">
            <w:pPr>
              <w:spacing w:after="60"/>
              <w:jc w:val="both"/>
            </w:pPr>
            <w:r>
              <w:rPr>
                <w:rFonts w:ascii="Arial" w:eastAsia="Arial" w:hAnsi="Arial" w:cs="Arial"/>
                <w:b/>
                <w:bCs/>
                <w:color w:val="0A2342"/>
                <w:sz w:val="22"/>
                <w:szCs w:val="22"/>
              </w:rPr>
              <w:t>Être impliqué dans la gestion des ressources humaines ou la direction d'un établissement de santé.</w:t>
            </w:r>
          </w:p>
          <w:p w14:paraId="153EA111" w14:textId="77777777" w:rsidR="00626B48" w:rsidRDefault="00000000" w:rsidP="00440BDD">
            <w:pPr>
              <w:jc w:val="both"/>
            </w:pPr>
            <w:r>
              <w:rPr>
                <w:rFonts w:ascii="Arial" w:eastAsia="Arial" w:hAnsi="Arial" w:cs="Arial"/>
                <w:color w:val="333333"/>
                <w:sz w:val="22"/>
                <w:szCs w:val="22"/>
              </w:rPr>
              <w:t>Aucun prérequis spécifique. Cette formation est accessible aux professionnels souhaitant initier ou renforcer une démarche QVT dans leur établissement.</w:t>
            </w:r>
          </w:p>
        </w:tc>
      </w:tr>
    </w:tbl>
    <w:p w14:paraId="400CE212" w14:textId="77777777" w:rsidR="00626B48" w:rsidRDefault="00626B48">
      <w:pPr>
        <w:spacing w:before="40" w:after="40"/>
      </w:pPr>
    </w:p>
    <w:p w14:paraId="0CA570A0" w14:textId="77777777" w:rsidR="001360BB" w:rsidRDefault="001360BB">
      <w:pPr>
        <w:pBdr>
          <w:bottom w:val="single" w:sz="3" w:space="0" w:color="6D2E46"/>
        </w:pBdr>
        <w:spacing w:before="360" w:after="120"/>
        <w:rPr>
          <w:rFonts w:ascii="Arial" w:eastAsia="Arial" w:hAnsi="Arial" w:cs="Arial"/>
          <w:b/>
          <w:bCs/>
          <w:color w:val="0A2342"/>
          <w:sz w:val="28"/>
          <w:szCs w:val="28"/>
        </w:rPr>
      </w:pPr>
    </w:p>
    <w:p w14:paraId="43FC0CF4" w14:textId="77777777" w:rsidR="001360BB" w:rsidRDefault="001360BB">
      <w:pPr>
        <w:pBdr>
          <w:bottom w:val="single" w:sz="3" w:space="0" w:color="6D2E46"/>
        </w:pBdr>
        <w:spacing w:before="360" w:after="120"/>
        <w:rPr>
          <w:rFonts w:ascii="Arial" w:eastAsia="Arial" w:hAnsi="Arial" w:cs="Arial"/>
          <w:b/>
          <w:bCs/>
          <w:color w:val="0A2342"/>
          <w:sz w:val="28"/>
          <w:szCs w:val="28"/>
        </w:rPr>
      </w:pPr>
    </w:p>
    <w:p w14:paraId="49499405" w14:textId="4892D4D7" w:rsidR="00626B48" w:rsidRDefault="00000000">
      <w:pPr>
        <w:pBdr>
          <w:bottom w:val="single" w:sz="3" w:space="0" w:color="6D2E46"/>
        </w:pBdr>
        <w:spacing w:before="360" w:after="120"/>
      </w:pPr>
      <w:r>
        <w:rPr>
          <w:rFonts w:ascii="Arial" w:eastAsia="Arial" w:hAnsi="Arial" w:cs="Arial"/>
          <w:b/>
          <w:bCs/>
          <w:color w:val="0A2342"/>
          <w:sz w:val="28"/>
          <w:szCs w:val="28"/>
        </w:rPr>
        <w:t>Programme heure par heure</w:t>
      </w:r>
    </w:p>
    <w:p w14:paraId="26C06899" w14:textId="77777777" w:rsidR="00626B48" w:rsidRDefault="00000000">
      <w:pPr>
        <w:spacing w:before="60" w:after="60"/>
      </w:pPr>
      <w:r>
        <w:rPr>
          <w:rFonts w:ascii="Arial" w:eastAsia="Arial" w:hAnsi="Arial" w:cs="Arial"/>
          <w:color w:val="64748B"/>
          <w:sz w:val="22"/>
          <w:szCs w:val="22"/>
        </w:rPr>
        <w:t>Formation e-learning en autonomie — durée totale : 7 heures</w:t>
      </w:r>
    </w:p>
    <w:p w14:paraId="3E7974D2" w14:textId="77777777" w:rsidR="00626B48" w:rsidRDefault="00626B48">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2800"/>
        <w:gridCol w:w="5306"/>
      </w:tblGrid>
      <w:tr w:rsidR="00626B48" w14:paraId="1CBC31E1" w14:textId="77777777">
        <w:trPr>
          <w:tblHeader/>
        </w:trPr>
        <w:tc>
          <w:tcPr>
            <w:tcW w:w="1400" w:type="dxa"/>
            <w:tcBorders>
              <w:top w:val="single" w:sz="1" w:space="0" w:color="CCCCCC"/>
              <w:left w:val="single" w:sz="1" w:space="0" w:color="CCCCCC"/>
              <w:bottom w:val="single" w:sz="1" w:space="0" w:color="CCCCCC"/>
              <w:right w:val="single" w:sz="1" w:space="0" w:color="CCCCCC"/>
            </w:tcBorders>
            <w:shd w:val="clear" w:color="auto" w:fill="6D2E46"/>
            <w:tcMar>
              <w:top w:w="80" w:type="dxa"/>
              <w:left w:w="120" w:type="dxa"/>
              <w:bottom w:w="80" w:type="dxa"/>
              <w:right w:w="120" w:type="dxa"/>
            </w:tcMar>
          </w:tcPr>
          <w:p w14:paraId="548381D1" w14:textId="77777777" w:rsidR="00626B48" w:rsidRDefault="00000000">
            <w:pPr>
              <w:jc w:val="center"/>
            </w:pPr>
            <w:r>
              <w:rPr>
                <w:rFonts w:ascii="Arial" w:eastAsia="Arial" w:hAnsi="Arial" w:cs="Arial"/>
                <w:b/>
                <w:bCs/>
                <w:color w:val="FFFFFF"/>
                <w:sz w:val="18"/>
                <w:szCs w:val="18"/>
              </w:rPr>
              <w:t>Horaire</w:t>
            </w:r>
          </w:p>
        </w:tc>
        <w:tc>
          <w:tcPr>
            <w:tcW w:w="2800" w:type="dxa"/>
            <w:tcBorders>
              <w:top w:val="single" w:sz="1" w:space="0" w:color="CCCCCC"/>
              <w:left w:val="single" w:sz="1" w:space="0" w:color="CCCCCC"/>
              <w:bottom w:val="single" w:sz="1" w:space="0" w:color="CCCCCC"/>
              <w:right w:val="single" w:sz="1" w:space="0" w:color="CCCCCC"/>
            </w:tcBorders>
            <w:shd w:val="clear" w:color="auto" w:fill="6D2E46"/>
            <w:tcMar>
              <w:top w:w="80" w:type="dxa"/>
              <w:left w:w="120" w:type="dxa"/>
              <w:bottom w:w="80" w:type="dxa"/>
              <w:right w:w="120" w:type="dxa"/>
            </w:tcMar>
          </w:tcPr>
          <w:p w14:paraId="54180D7C" w14:textId="77777777" w:rsidR="00626B48" w:rsidRDefault="00000000">
            <w:pPr>
              <w:jc w:val="center"/>
            </w:pPr>
            <w:r>
              <w:rPr>
                <w:rFonts w:ascii="Arial" w:eastAsia="Arial" w:hAnsi="Arial" w:cs="Arial"/>
                <w:b/>
                <w:bCs/>
                <w:color w:val="FFFFFF"/>
                <w:sz w:val="18"/>
                <w:szCs w:val="18"/>
              </w:rPr>
              <w:t>Module</w:t>
            </w:r>
          </w:p>
        </w:tc>
        <w:tc>
          <w:tcPr>
            <w:tcW w:w="5306" w:type="dxa"/>
            <w:tcBorders>
              <w:top w:val="single" w:sz="1" w:space="0" w:color="CCCCCC"/>
              <w:left w:val="single" w:sz="1" w:space="0" w:color="CCCCCC"/>
              <w:bottom w:val="single" w:sz="1" w:space="0" w:color="CCCCCC"/>
              <w:right w:val="single" w:sz="1" w:space="0" w:color="CCCCCC"/>
            </w:tcBorders>
            <w:shd w:val="clear" w:color="auto" w:fill="6D2E46"/>
            <w:tcMar>
              <w:top w:w="80" w:type="dxa"/>
              <w:left w:w="120" w:type="dxa"/>
              <w:bottom w:w="80" w:type="dxa"/>
              <w:right w:w="120" w:type="dxa"/>
            </w:tcMar>
          </w:tcPr>
          <w:p w14:paraId="39CA30BA" w14:textId="77777777" w:rsidR="00626B48" w:rsidRDefault="00000000">
            <w:pPr>
              <w:jc w:val="center"/>
            </w:pPr>
            <w:r>
              <w:rPr>
                <w:rFonts w:ascii="Arial" w:eastAsia="Arial" w:hAnsi="Arial" w:cs="Arial"/>
                <w:b/>
                <w:bCs/>
                <w:color w:val="FFFFFF"/>
                <w:sz w:val="18"/>
                <w:szCs w:val="18"/>
              </w:rPr>
              <w:t>Contenu détaillé</w:t>
            </w:r>
          </w:p>
        </w:tc>
      </w:tr>
      <w:tr w:rsidR="00626B48" w14:paraId="713A6D30"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7AD24433" w14:textId="77777777" w:rsidR="00626B48" w:rsidRDefault="00000000">
            <w:pPr>
              <w:jc w:val="center"/>
            </w:pPr>
            <w:r>
              <w:rPr>
                <w:rFonts w:ascii="Arial" w:eastAsia="Arial" w:hAnsi="Arial" w:cs="Arial"/>
                <w:b/>
                <w:bCs/>
                <w:color w:val="6D2E46"/>
              </w:rPr>
              <w:t>9h00 – 9h30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8F52F5" w14:textId="77777777" w:rsidR="00626B48" w:rsidRDefault="00000000">
            <w:r>
              <w:rPr>
                <w:rFonts w:ascii="Arial" w:eastAsia="Arial" w:hAnsi="Arial" w:cs="Arial"/>
                <w:b/>
                <w:bCs/>
                <w:color w:val="0A2342"/>
              </w:rPr>
              <w:t>Introduction &amp; diagnostic</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6E7990" w14:textId="77777777" w:rsidR="00626B48" w:rsidRDefault="00000000" w:rsidP="00440BDD">
            <w:pPr>
              <w:jc w:val="both"/>
            </w:pPr>
            <w:r>
              <w:rPr>
                <w:rFonts w:ascii="Arial" w:eastAsia="Arial" w:hAnsi="Arial" w:cs="Arial"/>
                <w:color w:val="444444"/>
              </w:rPr>
              <w:t xml:space="preserve">Qu'est-ce que la QVT en milieu médical ? — Les chiffres clés : burn-out, turnover, absentéisme — </w:t>
            </w:r>
            <w:proofErr w:type="spellStart"/>
            <w:r>
              <w:rPr>
                <w:rFonts w:ascii="Arial" w:eastAsia="Arial" w:hAnsi="Arial" w:cs="Arial"/>
                <w:color w:val="444444"/>
              </w:rPr>
              <w:t>Auto-diagnostic</w:t>
            </w:r>
            <w:proofErr w:type="spellEnd"/>
            <w:r>
              <w:rPr>
                <w:rFonts w:ascii="Arial" w:eastAsia="Arial" w:hAnsi="Arial" w:cs="Arial"/>
                <w:color w:val="444444"/>
              </w:rPr>
              <w:t xml:space="preserve"> rapide de la QVT dans son établissement</w:t>
            </w:r>
          </w:p>
        </w:tc>
      </w:tr>
      <w:tr w:rsidR="00626B48" w14:paraId="2774ADFC"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697BCF82" w14:textId="77777777" w:rsidR="00626B48" w:rsidRDefault="00000000">
            <w:pPr>
              <w:jc w:val="center"/>
            </w:pPr>
            <w:r>
              <w:rPr>
                <w:rFonts w:ascii="Arial" w:eastAsia="Arial" w:hAnsi="Arial" w:cs="Arial"/>
                <w:b/>
                <w:bCs/>
                <w:color w:val="6D2E46"/>
              </w:rPr>
              <w:t>9h30 – 11h00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D49ED8" w14:textId="77777777" w:rsidR="00626B48" w:rsidRDefault="00000000">
            <w:r>
              <w:rPr>
                <w:rFonts w:ascii="Arial" w:eastAsia="Arial" w:hAnsi="Arial" w:cs="Arial"/>
                <w:b/>
                <w:bCs/>
                <w:color w:val="0A2342"/>
              </w:rPr>
              <w:t>Ce que veulent vraiment les médecins</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DE9E88" w14:textId="77777777" w:rsidR="00626B48" w:rsidRDefault="00000000" w:rsidP="00440BDD">
            <w:pPr>
              <w:jc w:val="both"/>
            </w:pPr>
            <w:r>
              <w:rPr>
                <w:rFonts w:ascii="Arial" w:eastAsia="Arial" w:hAnsi="Arial" w:cs="Arial"/>
                <w:color w:val="444444"/>
              </w:rPr>
              <w:t>Enquêtes et études récentes sur les attentes des médecins — Les 7 dimensions de la QVT médicale — Générations et attentes : les évolutions depuis COVID-19 — Exercice : cartographier les besoins de vos équipes</w:t>
            </w:r>
          </w:p>
        </w:tc>
      </w:tr>
      <w:tr w:rsidR="00626B48" w14:paraId="5CE7A110"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424369A6" w14:textId="77777777" w:rsidR="00626B48" w:rsidRDefault="00000000">
            <w:pPr>
              <w:jc w:val="center"/>
            </w:pPr>
            <w:r>
              <w:rPr>
                <w:rFonts w:ascii="Arial" w:eastAsia="Arial" w:hAnsi="Arial" w:cs="Arial"/>
                <w:b/>
                <w:bCs/>
                <w:color w:val="F0A500"/>
              </w:rPr>
              <w:t>11h00 – 11h15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2F38DBA0" w14:textId="77777777" w:rsidR="00626B48" w:rsidRDefault="00000000">
            <w:r>
              <w:rPr>
                <w:rFonts w:ascii="Arial" w:eastAsia="Arial" w:hAnsi="Arial" w:cs="Arial"/>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334E4631" w14:textId="77777777" w:rsidR="00626B48" w:rsidRDefault="00626B48" w:rsidP="00440BDD">
            <w:pPr>
              <w:jc w:val="both"/>
            </w:pPr>
          </w:p>
        </w:tc>
      </w:tr>
      <w:tr w:rsidR="00626B48" w14:paraId="4F189B99"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3D1AC5CB" w14:textId="77777777" w:rsidR="00626B48" w:rsidRDefault="00000000">
            <w:pPr>
              <w:jc w:val="center"/>
            </w:pPr>
            <w:r>
              <w:rPr>
                <w:rFonts w:ascii="Arial" w:eastAsia="Arial" w:hAnsi="Arial" w:cs="Arial"/>
                <w:b/>
                <w:bCs/>
                <w:color w:val="6D2E46"/>
              </w:rPr>
              <w:t>11h15 – 12h30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22D490" w14:textId="77777777" w:rsidR="00626B48" w:rsidRDefault="00000000">
            <w:r>
              <w:rPr>
                <w:rFonts w:ascii="Arial" w:eastAsia="Arial" w:hAnsi="Arial" w:cs="Arial"/>
                <w:b/>
                <w:bCs/>
                <w:color w:val="0A2342"/>
              </w:rPr>
              <w:t>Les piliers de la QVT hospitalière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416DA9" w14:textId="77777777" w:rsidR="00626B48" w:rsidRDefault="00000000" w:rsidP="00440BDD">
            <w:pPr>
              <w:jc w:val="both"/>
            </w:pPr>
            <w:r>
              <w:rPr>
                <w:rFonts w:ascii="Arial" w:eastAsia="Arial" w:hAnsi="Arial" w:cs="Arial"/>
                <w:color w:val="444444"/>
              </w:rPr>
              <w:t>Conditions de travail — Reconnaissance et valorisation — Autonomie et sens — Relations interpersonnelles — Équilibre vie pro/perso — Environnement physique et matériel</w:t>
            </w:r>
          </w:p>
        </w:tc>
      </w:tr>
      <w:tr w:rsidR="00626B48" w14:paraId="755198B9"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7E16270D" w14:textId="77777777" w:rsidR="00626B48" w:rsidRDefault="00000000">
            <w:pPr>
              <w:jc w:val="center"/>
            </w:pPr>
            <w:r>
              <w:rPr>
                <w:rFonts w:ascii="Arial" w:eastAsia="Arial" w:hAnsi="Arial" w:cs="Arial"/>
                <w:b/>
                <w:bCs/>
                <w:color w:val="F0A500"/>
              </w:rPr>
              <w:t>12h30 – 13h30</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32E52232" w14:textId="77777777" w:rsidR="00626B48" w:rsidRDefault="00000000">
            <w:r>
              <w:rPr>
                <w:rFonts w:ascii="Arial" w:eastAsia="Arial" w:hAnsi="Arial" w:cs="Arial"/>
                <w:color w:val="0A2342"/>
              </w:rPr>
              <w:t>Déjeuner</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1B5DB767" w14:textId="77777777" w:rsidR="00626B48" w:rsidRDefault="00626B48" w:rsidP="00440BDD">
            <w:pPr>
              <w:jc w:val="both"/>
            </w:pPr>
          </w:p>
        </w:tc>
      </w:tr>
      <w:tr w:rsidR="00626B48" w14:paraId="0A89B717"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565CD4C9" w14:textId="77777777" w:rsidR="00626B48" w:rsidRDefault="00000000">
            <w:pPr>
              <w:jc w:val="center"/>
            </w:pPr>
            <w:r>
              <w:rPr>
                <w:rFonts w:ascii="Arial" w:eastAsia="Arial" w:hAnsi="Arial" w:cs="Arial"/>
                <w:b/>
                <w:bCs/>
                <w:color w:val="6D2E46"/>
              </w:rPr>
              <w:t>13h30 – 15h00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5C0C4B" w14:textId="77777777" w:rsidR="00626B48" w:rsidRDefault="00000000">
            <w:r>
              <w:rPr>
                <w:rFonts w:ascii="Arial" w:eastAsia="Arial" w:hAnsi="Arial" w:cs="Arial"/>
                <w:b/>
                <w:bCs/>
                <w:color w:val="0A2342"/>
              </w:rPr>
              <w:t>Actions à fort impact</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507AF3" w14:textId="77777777" w:rsidR="00626B48" w:rsidRDefault="00000000" w:rsidP="00440BDD">
            <w:pPr>
              <w:jc w:val="both"/>
            </w:pPr>
            <w:r>
              <w:rPr>
                <w:rFonts w:ascii="Arial" w:eastAsia="Arial" w:hAnsi="Arial" w:cs="Arial"/>
                <w:color w:val="444444"/>
              </w:rPr>
              <w:t xml:space="preserve">20 actions QVT concrètes et peu coûteuses — Priorisation selon le contexte de votre établissement — Quick </w:t>
            </w:r>
            <w:proofErr w:type="spellStart"/>
            <w:r>
              <w:rPr>
                <w:rFonts w:ascii="Arial" w:eastAsia="Arial" w:hAnsi="Arial" w:cs="Arial"/>
                <w:color w:val="444444"/>
              </w:rPr>
              <w:t>wins</w:t>
            </w:r>
            <w:proofErr w:type="spellEnd"/>
            <w:r>
              <w:rPr>
                <w:rFonts w:ascii="Arial" w:eastAsia="Arial" w:hAnsi="Arial" w:cs="Arial"/>
                <w:color w:val="444444"/>
              </w:rPr>
              <w:t xml:space="preserve"> vs actions de fond — Exemples d'établissements ayant transformé leur attractivité grâce à la QVT</w:t>
            </w:r>
          </w:p>
        </w:tc>
      </w:tr>
      <w:tr w:rsidR="00626B48" w14:paraId="1D40198D"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vAlign w:val="center"/>
          </w:tcPr>
          <w:p w14:paraId="604195AA" w14:textId="77777777" w:rsidR="00626B48" w:rsidRDefault="00000000">
            <w:pPr>
              <w:jc w:val="center"/>
            </w:pPr>
            <w:r>
              <w:rPr>
                <w:rFonts w:ascii="Arial" w:eastAsia="Arial" w:hAnsi="Arial" w:cs="Arial"/>
                <w:b/>
                <w:bCs/>
                <w:color w:val="F0A500"/>
              </w:rPr>
              <w:t>15h00 – 15h15</w:t>
            </w:r>
          </w:p>
        </w:tc>
        <w:tc>
          <w:tcPr>
            <w:tcW w:w="280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4F179052" w14:textId="77777777" w:rsidR="00626B48" w:rsidRDefault="00000000">
            <w:r>
              <w:rPr>
                <w:rFonts w:ascii="Arial" w:eastAsia="Arial" w:hAnsi="Arial" w:cs="Arial"/>
                <w:color w:val="0A2342"/>
              </w:rPr>
              <w:t>Pause</w:t>
            </w:r>
          </w:p>
        </w:tc>
        <w:tc>
          <w:tcPr>
            <w:tcW w:w="5306" w:type="dxa"/>
            <w:tcBorders>
              <w:top w:val="single" w:sz="1" w:space="0" w:color="CCCCCC"/>
              <w:left w:val="single" w:sz="1" w:space="0" w:color="CCCCCC"/>
              <w:bottom w:val="single" w:sz="1" w:space="0" w:color="CCCCCC"/>
              <w:right w:val="single" w:sz="1" w:space="0" w:color="CCCCCC"/>
            </w:tcBorders>
            <w:shd w:val="clear" w:color="auto" w:fill="FFF8E7"/>
            <w:tcMar>
              <w:top w:w="80" w:type="dxa"/>
              <w:left w:w="120" w:type="dxa"/>
              <w:bottom w:w="80" w:type="dxa"/>
              <w:right w:w="120" w:type="dxa"/>
            </w:tcMar>
          </w:tcPr>
          <w:p w14:paraId="56087367" w14:textId="77777777" w:rsidR="00626B48" w:rsidRDefault="00626B48" w:rsidP="00440BDD">
            <w:pPr>
              <w:jc w:val="both"/>
            </w:pPr>
          </w:p>
        </w:tc>
      </w:tr>
      <w:tr w:rsidR="00626B48" w14:paraId="57547456"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3F20F59D" w14:textId="77777777" w:rsidR="00626B48" w:rsidRDefault="00000000">
            <w:pPr>
              <w:jc w:val="center"/>
            </w:pPr>
            <w:r>
              <w:rPr>
                <w:rFonts w:ascii="Arial" w:eastAsia="Arial" w:hAnsi="Arial" w:cs="Arial"/>
                <w:b/>
                <w:bCs/>
                <w:color w:val="6D2E46"/>
              </w:rPr>
              <w:t>15h15 – 16h30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7B5522" w14:textId="77777777" w:rsidR="00626B48" w:rsidRDefault="00000000">
            <w:r>
              <w:rPr>
                <w:rFonts w:ascii="Arial" w:eastAsia="Arial" w:hAnsi="Arial" w:cs="Arial"/>
                <w:b/>
                <w:bCs/>
                <w:color w:val="0A2342"/>
              </w:rPr>
              <w:t>QVT &amp; stratégie RH</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7DF609" w14:textId="77777777" w:rsidR="00626B48" w:rsidRDefault="00000000" w:rsidP="00440BDD">
            <w:pPr>
              <w:jc w:val="both"/>
            </w:pPr>
            <w:r>
              <w:rPr>
                <w:rFonts w:ascii="Arial" w:eastAsia="Arial" w:hAnsi="Arial" w:cs="Arial"/>
                <w:color w:val="444444"/>
              </w:rPr>
              <w:t>Intégrer la QVT dans la marque employeur — Communiquer sur ses actions QVT auprès des candidats — Indicateurs de mesure et tableau de bord QVT — Construction de son plan QVT personnalisé</w:t>
            </w:r>
          </w:p>
        </w:tc>
      </w:tr>
      <w:tr w:rsidR="00626B48" w14:paraId="52FDFCDD" w14:textId="77777777">
        <w:tc>
          <w:tcPr>
            <w:tcW w:w="1400" w:type="dxa"/>
            <w:tcBorders>
              <w:top w:val="single" w:sz="1" w:space="0" w:color="CCCCCC"/>
              <w:left w:val="single" w:sz="1" w:space="0" w:color="CCCCCC"/>
              <w:bottom w:val="single" w:sz="1" w:space="0" w:color="CCCCCC"/>
              <w:right w:val="single" w:sz="1" w:space="0" w:color="CCCCCC"/>
            </w:tcBorders>
            <w:shd w:val="clear" w:color="auto" w:fill="F4F8FB"/>
            <w:tcMar>
              <w:top w:w="80" w:type="dxa"/>
              <w:left w:w="120" w:type="dxa"/>
              <w:bottom w:w="80" w:type="dxa"/>
              <w:right w:w="120" w:type="dxa"/>
            </w:tcMar>
            <w:vAlign w:val="center"/>
          </w:tcPr>
          <w:p w14:paraId="5DFFE281" w14:textId="77777777" w:rsidR="00626B48" w:rsidRDefault="00000000">
            <w:pPr>
              <w:jc w:val="center"/>
            </w:pPr>
            <w:r>
              <w:rPr>
                <w:rFonts w:ascii="Arial" w:eastAsia="Arial" w:hAnsi="Arial" w:cs="Arial"/>
                <w:b/>
                <w:bCs/>
                <w:color w:val="6D2E46"/>
              </w:rPr>
              <w:t>16h30 – 17h00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A151D8" w14:textId="77777777" w:rsidR="00626B48" w:rsidRDefault="00000000">
            <w:r>
              <w:rPr>
                <w:rFonts w:ascii="Arial" w:eastAsia="Arial" w:hAnsi="Arial" w:cs="Arial"/>
                <w:b/>
                <w:bCs/>
                <w:color w:val="0A2342"/>
              </w:rPr>
              <w:t>Évaluation &amp; synthèse</w:t>
            </w:r>
          </w:p>
        </w:tc>
        <w:tc>
          <w:tcPr>
            <w:tcW w:w="53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CDA34A" w14:textId="77777777" w:rsidR="00626B48" w:rsidRDefault="00000000" w:rsidP="00440BDD">
            <w:pPr>
              <w:jc w:val="both"/>
            </w:pPr>
            <w:r>
              <w:rPr>
                <w:rFonts w:ascii="Arial" w:eastAsia="Arial" w:hAnsi="Arial" w:cs="Arial"/>
                <w:color w:val="444444"/>
              </w:rPr>
              <w:t>Quiz final — Plan d'action — Attestation — Ressources téléchargeables</w:t>
            </w:r>
          </w:p>
        </w:tc>
      </w:tr>
    </w:tbl>
    <w:p w14:paraId="74DA7FDA" w14:textId="77777777" w:rsidR="00626B48" w:rsidRDefault="00626B48">
      <w:pPr>
        <w:spacing w:before="40" w:after="40"/>
      </w:pPr>
    </w:p>
    <w:p w14:paraId="7D67B8AA" w14:textId="77777777" w:rsidR="00626B48" w:rsidRDefault="00000000">
      <w:pPr>
        <w:pBdr>
          <w:bottom w:val="single" w:sz="3" w:space="0" w:color="6D2E46"/>
        </w:pBdr>
        <w:spacing w:before="360" w:after="120"/>
      </w:pPr>
      <w:r>
        <w:rPr>
          <w:rFonts w:ascii="Arial" w:eastAsia="Arial" w:hAnsi="Arial" w:cs="Arial"/>
          <w:b/>
          <w:bCs/>
          <w:color w:val="0A2342"/>
          <w:sz w:val="28"/>
          <w:szCs w:val="28"/>
        </w:rPr>
        <w:t>Méthodes pédagogiques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53"/>
        <w:gridCol w:w="4753"/>
      </w:tblGrid>
      <w:tr w:rsidR="00626B48" w14:paraId="67725BD9" w14:textId="77777777">
        <w:tc>
          <w:tcPr>
            <w:tcW w:w="4753" w:type="dxa"/>
            <w:tcBorders>
              <w:top w:val="single" w:sz="1" w:space="0" w:color="CCCCCC"/>
              <w:left w:val="single" w:sz="1" w:space="0" w:color="CCCCCC"/>
              <w:bottom w:val="single" w:sz="1" w:space="0" w:color="CCCCCC"/>
              <w:right w:val="single" w:sz="1" w:space="0" w:color="CCCCCC"/>
            </w:tcBorders>
            <w:shd w:val="clear" w:color="auto" w:fill="E8F8F5"/>
            <w:tcMar>
              <w:top w:w="120" w:type="dxa"/>
              <w:left w:w="160" w:type="dxa"/>
              <w:bottom w:w="120" w:type="dxa"/>
              <w:right w:w="160" w:type="dxa"/>
            </w:tcMar>
          </w:tcPr>
          <w:p w14:paraId="0F24564F" w14:textId="77777777" w:rsidR="00626B48" w:rsidRDefault="00000000" w:rsidP="00440BDD">
            <w:pPr>
              <w:spacing w:after="60"/>
              <w:jc w:val="both"/>
            </w:pPr>
            <w:proofErr w:type="gramStart"/>
            <w:r>
              <w:rPr>
                <w:rFonts w:ascii="Arial" w:eastAsia="Arial" w:hAnsi="Arial" w:cs="Arial"/>
                <w:b/>
                <w:bCs/>
                <w:color w:val="6D2E46"/>
                <w:sz w:val="22"/>
                <w:szCs w:val="22"/>
              </w:rPr>
              <w:t>🔍  Diagnostic</w:t>
            </w:r>
            <w:proofErr w:type="gramEnd"/>
            <w:r>
              <w:rPr>
                <w:rFonts w:ascii="Arial" w:eastAsia="Arial" w:hAnsi="Arial" w:cs="Arial"/>
                <w:b/>
                <w:bCs/>
                <w:color w:val="6D2E46"/>
                <w:sz w:val="22"/>
                <w:szCs w:val="22"/>
              </w:rPr>
              <w:t xml:space="preserve"> personnalisé</w:t>
            </w:r>
          </w:p>
          <w:p w14:paraId="000FD49E" w14:textId="77777777" w:rsidR="00626B48" w:rsidRDefault="00000000" w:rsidP="00440BDD">
            <w:pPr>
              <w:jc w:val="both"/>
            </w:pPr>
            <w:r>
              <w:rPr>
                <w:rFonts w:ascii="Arial" w:eastAsia="Arial" w:hAnsi="Arial" w:cs="Arial"/>
                <w:color w:val="333333"/>
              </w:rPr>
              <w:t xml:space="preserve">Chaque participant réalise un </w:t>
            </w:r>
            <w:proofErr w:type="spellStart"/>
            <w:r>
              <w:rPr>
                <w:rFonts w:ascii="Arial" w:eastAsia="Arial" w:hAnsi="Arial" w:cs="Arial"/>
                <w:color w:val="333333"/>
              </w:rPr>
              <w:t>auto-diagnostic</w:t>
            </w:r>
            <w:proofErr w:type="spellEnd"/>
            <w:r>
              <w:rPr>
                <w:rFonts w:ascii="Arial" w:eastAsia="Arial" w:hAnsi="Arial" w:cs="Arial"/>
                <w:color w:val="333333"/>
              </w:rPr>
              <w:t xml:space="preserve"> de la QVT dans son propre établissement et repart avec des pistes d'amélioration concrètes.</w:t>
            </w:r>
          </w:p>
        </w:tc>
        <w:tc>
          <w:tcPr>
            <w:tcW w:w="4753" w:type="dxa"/>
            <w:tcBorders>
              <w:top w:val="single" w:sz="1" w:space="0" w:color="CCCCCC"/>
              <w:left w:val="single" w:sz="1" w:space="0" w:color="CCCCCC"/>
              <w:bottom w:val="single" w:sz="1" w:space="0" w:color="CCCCCC"/>
              <w:right w:val="single" w:sz="1" w:space="0" w:color="CCCCCC"/>
            </w:tcBorders>
            <w:shd w:val="clear" w:color="auto" w:fill="E8F8F5"/>
            <w:tcMar>
              <w:top w:w="120" w:type="dxa"/>
              <w:left w:w="160" w:type="dxa"/>
              <w:bottom w:w="120" w:type="dxa"/>
              <w:right w:w="160" w:type="dxa"/>
            </w:tcMar>
          </w:tcPr>
          <w:p w14:paraId="7A5C628C" w14:textId="77777777" w:rsidR="00626B48" w:rsidRDefault="00000000" w:rsidP="00440BDD">
            <w:pPr>
              <w:spacing w:after="60"/>
              <w:jc w:val="both"/>
            </w:pPr>
            <w:proofErr w:type="gramStart"/>
            <w:r>
              <w:rPr>
                <w:rFonts w:ascii="Arial" w:eastAsia="Arial" w:hAnsi="Arial" w:cs="Arial"/>
                <w:b/>
                <w:bCs/>
                <w:color w:val="6D2E46"/>
                <w:sz w:val="22"/>
                <w:szCs w:val="22"/>
              </w:rPr>
              <w:t>📊  Études</w:t>
            </w:r>
            <w:proofErr w:type="gramEnd"/>
            <w:r>
              <w:rPr>
                <w:rFonts w:ascii="Arial" w:eastAsia="Arial" w:hAnsi="Arial" w:cs="Arial"/>
                <w:b/>
                <w:bCs/>
                <w:color w:val="6D2E46"/>
                <w:sz w:val="22"/>
                <w:szCs w:val="22"/>
              </w:rPr>
              <w:t xml:space="preserve"> de cas réels</w:t>
            </w:r>
          </w:p>
          <w:p w14:paraId="453D9B0F" w14:textId="77777777" w:rsidR="00626B48" w:rsidRDefault="00000000" w:rsidP="00440BDD">
            <w:pPr>
              <w:jc w:val="both"/>
            </w:pPr>
            <w:r>
              <w:rPr>
                <w:rFonts w:ascii="Arial" w:eastAsia="Arial" w:hAnsi="Arial" w:cs="Arial"/>
                <w:color w:val="333333"/>
              </w:rPr>
              <w:t>Analyse de 3 établissements ayant amélioré leur attractivité grâce à des démarches QVT innovantes.</w:t>
            </w:r>
          </w:p>
        </w:tc>
      </w:tr>
      <w:tr w:rsidR="00626B48" w14:paraId="60D9770B" w14:textId="77777777">
        <w:tc>
          <w:tcPr>
            <w:tcW w:w="4753" w:type="dxa"/>
            <w:tcBorders>
              <w:top w:val="single" w:sz="1" w:space="0" w:color="CCCCCC"/>
              <w:left w:val="single" w:sz="1" w:space="0" w:color="CCCCCC"/>
              <w:bottom w:val="single" w:sz="1" w:space="0" w:color="CCCCCC"/>
              <w:right w:val="single" w:sz="1" w:space="0" w:color="CCCCCC"/>
            </w:tcBorders>
            <w:shd w:val="clear" w:color="auto" w:fill="F4F8FB"/>
            <w:tcMar>
              <w:top w:w="120" w:type="dxa"/>
              <w:left w:w="160" w:type="dxa"/>
              <w:bottom w:w="120" w:type="dxa"/>
              <w:right w:w="160" w:type="dxa"/>
            </w:tcMar>
          </w:tcPr>
          <w:p w14:paraId="293A8606" w14:textId="77777777" w:rsidR="00626B48" w:rsidRDefault="00000000" w:rsidP="00440BDD">
            <w:pPr>
              <w:spacing w:after="60"/>
              <w:jc w:val="both"/>
            </w:pPr>
            <w:proofErr w:type="gramStart"/>
            <w:r>
              <w:rPr>
                <w:rFonts w:ascii="Arial" w:eastAsia="Arial" w:hAnsi="Arial" w:cs="Arial"/>
                <w:b/>
                <w:bCs/>
                <w:color w:val="6D2E46"/>
                <w:sz w:val="22"/>
                <w:szCs w:val="22"/>
              </w:rPr>
              <w:t>🎯  Ateliers</w:t>
            </w:r>
            <w:proofErr w:type="gramEnd"/>
            <w:r>
              <w:rPr>
                <w:rFonts w:ascii="Arial" w:eastAsia="Arial" w:hAnsi="Arial" w:cs="Arial"/>
                <w:b/>
                <w:bCs/>
                <w:color w:val="6D2E46"/>
                <w:sz w:val="22"/>
                <w:szCs w:val="22"/>
              </w:rPr>
              <w:t xml:space="preserve"> de priorisation</w:t>
            </w:r>
          </w:p>
          <w:p w14:paraId="45346720" w14:textId="77777777" w:rsidR="00626B48" w:rsidRDefault="00000000" w:rsidP="00440BDD">
            <w:pPr>
              <w:jc w:val="both"/>
            </w:pPr>
            <w:r>
              <w:rPr>
                <w:rFonts w:ascii="Arial" w:eastAsia="Arial" w:hAnsi="Arial" w:cs="Arial"/>
                <w:color w:val="333333"/>
              </w:rPr>
              <w:t>Exercices de priorisation des actions QVT selon le contexte, les ressources et les objectifs de chaque établissement.</w:t>
            </w:r>
          </w:p>
        </w:tc>
        <w:tc>
          <w:tcPr>
            <w:tcW w:w="4753" w:type="dxa"/>
            <w:tcBorders>
              <w:top w:val="single" w:sz="1" w:space="0" w:color="CCCCCC"/>
              <w:left w:val="single" w:sz="1" w:space="0" w:color="CCCCCC"/>
              <w:bottom w:val="single" w:sz="1" w:space="0" w:color="CCCCCC"/>
              <w:right w:val="single" w:sz="1" w:space="0" w:color="CCCCCC"/>
            </w:tcBorders>
            <w:shd w:val="clear" w:color="auto" w:fill="F4F8FB"/>
            <w:tcMar>
              <w:top w:w="120" w:type="dxa"/>
              <w:left w:w="160" w:type="dxa"/>
              <w:bottom w:w="120" w:type="dxa"/>
              <w:right w:w="160" w:type="dxa"/>
            </w:tcMar>
          </w:tcPr>
          <w:p w14:paraId="06651364" w14:textId="77777777" w:rsidR="00626B48" w:rsidRDefault="00000000" w:rsidP="00440BDD">
            <w:pPr>
              <w:spacing w:after="60"/>
              <w:jc w:val="both"/>
            </w:pPr>
            <w:proofErr w:type="gramStart"/>
            <w:r>
              <w:rPr>
                <w:rFonts w:ascii="Arial" w:eastAsia="Arial" w:hAnsi="Arial" w:cs="Arial"/>
                <w:b/>
                <w:bCs/>
                <w:color w:val="6D2E46"/>
                <w:sz w:val="22"/>
                <w:szCs w:val="22"/>
              </w:rPr>
              <w:t>📥  Plan</w:t>
            </w:r>
            <w:proofErr w:type="gramEnd"/>
            <w:r>
              <w:rPr>
                <w:rFonts w:ascii="Arial" w:eastAsia="Arial" w:hAnsi="Arial" w:cs="Arial"/>
                <w:b/>
                <w:bCs/>
                <w:color w:val="6D2E46"/>
                <w:sz w:val="22"/>
                <w:szCs w:val="22"/>
              </w:rPr>
              <w:t xml:space="preserve"> d'action &amp; outils</w:t>
            </w:r>
          </w:p>
          <w:p w14:paraId="6EA591DB" w14:textId="77777777" w:rsidR="00626B48" w:rsidRDefault="00000000" w:rsidP="00440BDD">
            <w:pPr>
              <w:jc w:val="both"/>
            </w:pPr>
            <w:r>
              <w:rPr>
                <w:rFonts w:ascii="Arial" w:eastAsia="Arial" w:hAnsi="Arial" w:cs="Arial"/>
                <w:color w:val="333333"/>
              </w:rPr>
              <w:t>Chaque participant repart avec son plan QVT sur 6 mois, un tableau de bord et des fiches pratiques téléchargeables.</w:t>
            </w:r>
          </w:p>
        </w:tc>
      </w:tr>
    </w:tbl>
    <w:p w14:paraId="11B8BDD6" w14:textId="77777777" w:rsidR="00626B48" w:rsidRDefault="00626B48">
      <w:pPr>
        <w:spacing w:before="40" w:after="40"/>
      </w:pPr>
    </w:p>
    <w:p w14:paraId="3B81CF01" w14:textId="77777777" w:rsidR="001360BB" w:rsidRDefault="001360BB">
      <w:pPr>
        <w:pBdr>
          <w:bottom w:val="single" w:sz="3" w:space="0" w:color="6D2E46"/>
        </w:pBdr>
        <w:spacing w:before="360" w:after="120"/>
        <w:rPr>
          <w:rFonts w:ascii="Arial" w:eastAsia="Arial" w:hAnsi="Arial" w:cs="Arial"/>
          <w:b/>
          <w:bCs/>
          <w:color w:val="0A2342"/>
          <w:sz w:val="28"/>
          <w:szCs w:val="28"/>
        </w:rPr>
      </w:pPr>
    </w:p>
    <w:p w14:paraId="59D1A2FD" w14:textId="77777777" w:rsidR="001360BB" w:rsidRDefault="001360BB">
      <w:pPr>
        <w:pBdr>
          <w:bottom w:val="single" w:sz="3" w:space="0" w:color="6D2E46"/>
        </w:pBdr>
        <w:spacing w:before="360" w:after="120"/>
        <w:rPr>
          <w:rFonts w:ascii="Arial" w:eastAsia="Arial" w:hAnsi="Arial" w:cs="Arial"/>
          <w:b/>
          <w:bCs/>
          <w:color w:val="0A2342"/>
          <w:sz w:val="28"/>
          <w:szCs w:val="28"/>
        </w:rPr>
      </w:pPr>
    </w:p>
    <w:p w14:paraId="41F6D560" w14:textId="77777777" w:rsidR="00440BDD" w:rsidRDefault="00440BDD">
      <w:pPr>
        <w:pBdr>
          <w:bottom w:val="single" w:sz="3" w:space="0" w:color="6D2E46"/>
        </w:pBdr>
        <w:spacing w:before="360" w:after="120"/>
        <w:rPr>
          <w:rFonts w:ascii="Arial" w:eastAsia="Arial" w:hAnsi="Arial" w:cs="Arial"/>
          <w:b/>
          <w:bCs/>
          <w:color w:val="0A2342"/>
          <w:sz w:val="28"/>
          <w:szCs w:val="28"/>
        </w:rPr>
      </w:pPr>
    </w:p>
    <w:p w14:paraId="7757703D" w14:textId="7DEF20FE" w:rsidR="00626B48" w:rsidRDefault="00000000">
      <w:pPr>
        <w:pBdr>
          <w:bottom w:val="single" w:sz="3" w:space="0" w:color="6D2E46"/>
        </w:pBdr>
        <w:spacing w:before="360" w:after="120"/>
      </w:pPr>
      <w:r>
        <w:rPr>
          <w:rFonts w:ascii="Arial" w:eastAsia="Arial" w:hAnsi="Arial" w:cs="Arial"/>
          <w:b/>
          <w:bCs/>
          <w:color w:val="0A2342"/>
          <w:sz w:val="28"/>
          <w:szCs w:val="28"/>
        </w:rPr>
        <w:t>Modalités d'évaluation</w:t>
      </w:r>
    </w:p>
    <w:p w14:paraId="7079C885" w14:textId="77777777" w:rsidR="00626B48" w:rsidRDefault="00000000">
      <w:pPr>
        <w:spacing w:before="60" w:after="60"/>
      </w:pPr>
      <w:r>
        <w:rPr>
          <w:rFonts w:ascii="Arial" w:eastAsia="Arial" w:hAnsi="Arial" w:cs="Arial"/>
          <w:color w:val="333333"/>
          <w:sz w:val="22"/>
          <w:szCs w:val="22"/>
        </w:rPr>
        <w:t>L'évaluation repose sur 3 niveaux complémentaires :</w:t>
      </w:r>
    </w:p>
    <w:p w14:paraId="0B0E99F8" w14:textId="77777777" w:rsidR="00626B48" w:rsidRDefault="00626B48">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706"/>
      </w:tblGrid>
      <w:tr w:rsidR="00626B48" w14:paraId="44A9E76A" w14:textId="77777777">
        <w:tc>
          <w:tcPr>
            <w:tcW w:w="1800" w:type="dxa"/>
            <w:tcBorders>
              <w:top w:val="single" w:sz="1" w:space="0" w:color="CCCCCC"/>
              <w:left w:val="single" w:sz="1" w:space="0" w:color="CCCCCC"/>
              <w:bottom w:val="single" w:sz="1" w:space="0" w:color="CCCCCC"/>
              <w:right w:val="single" w:sz="1" w:space="0" w:color="CCCCCC"/>
            </w:tcBorders>
            <w:shd w:val="clear" w:color="auto" w:fill="6D2E46"/>
            <w:tcMar>
              <w:top w:w="100" w:type="dxa"/>
              <w:left w:w="140" w:type="dxa"/>
              <w:bottom w:w="100" w:type="dxa"/>
              <w:right w:w="140" w:type="dxa"/>
            </w:tcMar>
            <w:vAlign w:val="center"/>
          </w:tcPr>
          <w:p w14:paraId="4A35781D" w14:textId="77777777" w:rsidR="00626B48" w:rsidRDefault="00000000">
            <w:pPr>
              <w:jc w:val="center"/>
            </w:pPr>
            <w:r>
              <w:rPr>
                <w:rFonts w:ascii="Arial" w:eastAsia="Arial" w:hAnsi="Arial" w:cs="Arial"/>
                <w:b/>
                <w:bCs/>
                <w:color w:val="FFFFFF"/>
              </w:rPr>
              <w:t>Niveau 1</w:t>
            </w:r>
          </w:p>
        </w:tc>
        <w:tc>
          <w:tcPr>
            <w:tcW w:w="7706" w:type="dxa"/>
            <w:tcBorders>
              <w:top w:val="single" w:sz="1" w:space="0" w:color="CCCCCC"/>
              <w:left w:val="single" w:sz="1" w:space="0" w:color="CCCCCC"/>
              <w:bottom w:val="single" w:sz="1" w:space="0" w:color="CCCCCC"/>
              <w:right w:val="single" w:sz="1" w:space="0" w:color="CCCCCC"/>
            </w:tcBorders>
            <w:shd w:val="clear" w:color="auto" w:fill="F4F8FB"/>
            <w:tcMar>
              <w:top w:w="100" w:type="dxa"/>
              <w:left w:w="160" w:type="dxa"/>
              <w:bottom w:w="100" w:type="dxa"/>
              <w:right w:w="160" w:type="dxa"/>
            </w:tcMar>
          </w:tcPr>
          <w:p w14:paraId="004DD325" w14:textId="77777777" w:rsidR="00626B48" w:rsidRDefault="00000000" w:rsidP="00440BDD">
            <w:pPr>
              <w:jc w:val="both"/>
            </w:pPr>
            <w:r>
              <w:rPr>
                <w:rFonts w:ascii="Arial" w:eastAsia="Arial" w:hAnsi="Arial" w:cs="Arial"/>
                <w:b/>
                <w:bCs/>
                <w:color w:val="0A2342"/>
              </w:rPr>
              <w:t xml:space="preserve">Quiz de compréhension — </w:t>
            </w:r>
            <w:r>
              <w:rPr>
                <w:rFonts w:ascii="Arial" w:eastAsia="Arial" w:hAnsi="Arial" w:cs="Arial"/>
                <w:color w:val="333333"/>
              </w:rPr>
              <w:t>Quiz interactifs tout au long de la formation. Score minimum requis : 70%.</w:t>
            </w:r>
          </w:p>
        </w:tc>
      </w:tr>
      <w:tr w:rsidR="00626B48" w14:paraId="31ED7C6A" w14:textId="77777777">
        <w:tc>
          <w:tcPr>
            <w:tcW w:w="1800" w:type="dxa"/>
            <w:tcBorders>
              <w:top w:val="single" w:sz="1" w:space="0" w:color="CCCCCC"/>
              <w:left w:val="single" w:sz="1" w:space="0" w:color="CCCCCC"/>
              <w:bottom w:val="single" w:sz="1" w:space="0" w:color="CCCCCC"/>
              <w:right w:val="single" w:sz="1" w:space="0" w:color="CCCCCC"/>
            </w:tcBorders>
            <w:shd w:val="clear" w:color="auto" w:fill="6D2E46"/>
            <w:tcMar>
              <w:top w:w="100" w:type="dxa"/>
              <w:left w:w="140" w:type="dxa"/>
              <w:bottom w:w="100" w:type="dxa"/>
              <w:right w:w="140" w:type="dxa"/>
            </w:tcMar>
            <w:vAlign w:val="center"/>
          </w:tcPr>
          <w:p w14:paraId="451FB775" w14:textId="77777777" w:rsidR="00626B48" w:rsidRDefault="00000000">
            <w:pPr>
              <w:jc w:val="center"/>
            </w:pPr>
            <w:r>
              <w:rPr>
                <w:rFonts w:ascii="Arial" w:eastAsia="Arial" w:hAnsi="Arial" w:cs="Arial"/>
                <w:b/>
                <w:bCs/>
                <w:color w:val="FFFFFF"/>
              </w:rPr>
              <w:t>Niveau 2</w:t>
            </w:r>
          </w:p>
        </w:tc>
        <w:tc>
          <w:tcPr>
            <w:tcW w:w="770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6CCDE595" w14:textId="77777777" w:rsidR="00626B48" w:rsidRDefault="00000000" w:rsidP="00440BDD">
            <w:pPr>
              <w:jc w:val="both"/>
            </w:pPr>
            <w:r>
              <w:rPr>
                <w:rFonts w:ascii="Arial" w:eastAsia="Arial" w:hAnsi="Arial" w:cs="Arial"/>
                <w:b/>
                <w:bCs/>
                <w:color w:val="0A2342"/>
              </w:rPr>
              <w:t xml:space="preserve">Mise en situation — </w:t>
            </w:r>
            <w:r>
              <w:rPr>
                <w:rFonts w:ascii="Arial" w:eastAsia="Arial" w:hAnsi="Arial" w:cs="Arial"/>
                <w:color w:val="333333"/>
              </w:rPr>
              <w:t>Exercice pratique final basé sur des cas réels de l'établissement du participant.</w:t>
            </w:r>
          </w:p>
        </w:tc>
      </w:tr>
      <w:tr w:rsidR="00626B48" w14:paraId="3890F622" w14:textId="77777777">
        <w:tc>
          <w:tcPr>
            <w:tcW w:w="1800" w:type="dxa"/>
            <w:tcBorders>
              <w:top w:val="single" w:sz="1" w:space="0" w:color="CCCCCC"/>
              <w:left w:val="single" w:sz="1" w:space="0" w:color="CCCCCC"/>
              <w:bottom w:val="single" w:sz="1" w:space="0" w:color="CCCCCC"/>
              <w:right w:val="single" w:sz="1" w:space="0" w:color="CCCCCC"/>
            </w:tcBorders>
            <w:shd w:val="clear" w:color="auto" w:fill="02C39A"/>
            <w:tcMar>
              <w:top w:w="100" w:type="dxa"/>
              <w:left w:w="140" w:type="dxa"/>
              <w:bottom w:w="100" w:type="dxa"/>
              <w:right w:w="140" w:type="dxa"/>
            </w:tcMar>
            <w:vAlign w:val="center"/>
          </w:tcPr>
          <w:p w14:paraId="7ECACEF0" w14:textId="77777777" w:rsidR="00626B48" w:rsidRDefault="00000000">
            <w:pPr>
              <w:jc w:val="center"/>
            </w:pPr>
            <w:r>
              <w:rPr>
                <w:rFonts w:ascii="Arial" w:eastAsia="Arial" w:hAnsi="Arial" w:cs="Arial"/>
                <w:b/>
                <w:bCs/>
                <w:color w:val="FFFFFF"/>
              </w:rPr>
              <w:t>Niveau 3</w:t>
            </w:r>
          </w:p>
        </w:tc>
        <w:tc>
          <w:tcPr>
            <w:tcW w:w="7706" w:type="dxa"/>
            <w:tcBorders>
              <w:top w:val="single" w:sz="1" w:space="0" w:color="CCCCCC"/>
              <w:left w:val="single" w:sz="1" w:space="0" w:color="CCCCCC"/>
              <w:bottom w:val="single" w:sz="1" w:space="0" w:color="CCCCCC"/>
              <w:right w:val="single" w:sz="1" w:space="0" w:color="CCCCCC"/>
            </w:tcBorders>
            <w:shd w:val="clear" w:color="auto" w:fill="E8F8F5"/>
            <w:tcMar>
              <w:top w:w="100" w:type="dxa"/>
              <w:left w:w="160" w:type="dxa"/>
              <w:bottom w:w="100" w:type="dxa"/>
              <w:right w:w="160" w:type="dxa"/>
            </w:tcMar>
          </w:tcPr>
          <w:p w14:paraId="4571C4A0" w14:textId="77777777" w:rsidR="00626B48" w:rsidRDefault="00000000" w:rsidP="00440BDD">
            <w:pPr>
              <w:jc w:val="both"/>
            </w:pPr>
            <w:r>
              <w:rPr>
                <w:rFonts w:ascii="Arial" w:eastAsia="Arial" w:hAnsi="Arial" w:cs="Arial"/>
                <w:b/>
                <w:bCs/>
                <w:color w:val="0A2342"/>
              </w:rPr>
              <w:t xml:space="preserve">Attestation de formation — </w:t>
            </w:r>
            <w:r>
              <w:rPr>
                <w:rFonts w:ascii="Arial" w:eastAsia="Arial" w:hAnsi="Arial" w:cs="Arial"/>
                <w:color w:val="333333"/>
              </w:rPr>
              <w:t xml:space="preserve">Délivrance d'une attestation </w:t>
            </w:r>
            <w:proofErr w:type="spellStart"/>
            <w:r>
              <w:rPr>
                <w:rFonts w:ascii="Arial" w:eastAsia="Arial" w:hAnsi="Arial" w:cs="Arial"/>
                <w:color w:val="333333"/>
              </w:rPr>
              <w:t>Meds</w:t>
            </w:r>
            <w:proofErr w:type="spellEnd"/>
            <w:r>
              <w:rPr>
                <w:rFonts w:ascii="Arial" w:eastAsia="Arial" w:hAnsi="Arial" w:cs="Arial"/>
                <w:color w:val="333333"/>
              </w:rPr>
              <w:t xml:space="preserve">-Link à l'issue de la formation (en attente certification </w:t>
            </w:r>
            <w:proofErr w:type="spellStart"/>
            <w:r>
              <w:rPr>
                <w:rFonts w:ascii="Arial" w:eastAsia="Arial" w:hAnsi="Arial" w:cs="Arial"/>
                <w:color w:val="333333"/>
              </w:rPr>
              <w:t>Qualiopi</w:t>
            </w:r>
            <w:proofErr w:type="spellEnd"/>
            <w:r>
              <w:rPr>
                <w:rFonts w:ascii="Arial" w:eastAsia="Arial" w:hAnsi="Arial" w:cs="Arial"/>
                <w:color w:val="333333"/>
              </w:rPr>
              <w:t>).</w:t>
            </w:r>
          </w:p>
        </w:tc>
      </w:tr>
    </w:tbl>
    <w:p w14:paraId="2C3F3F2F" w14:textId="77777777" w:rsidR="00626B48" w:rsidRDefault="00626B48">
      <w:pPr>
        <w:spacing w:before="40" w:after="40"/>
      </w:pPr>
    </w:p>
    <w:p w14:paraId="71EBF12A" w14:textId="77777777" w:rsidR="00440BDD" w:rsidRDefault="00440BDD">
      <w:pPr>
        <w:spacing w:before="40" w:after="40"/>
      </w:pPr>
    </w:p>
    <w:p w14:paraId="3EDD8AB8" w14:textId="77777777" w:rsidR="00440BDD" w:rsidRDefault="00440BDD">
      <w:pPr>
        <w:spacing w:before="40" w:after="40"/>
      </w:pPr>
    </w:p>
    <w:p w14:paraId="5AE53368" w14:textId="77777777" w:rsidR="00440BDD" w:rsidRDefault="00440BDD">
      <w:pPr>
        <w:spacing w:before="40" w:after="40"/>
      </w:pPr>
    </w:p>
    <w:p w14:paraId="516642B7" w14:textId="77777777" w:rsidR="00440BDD" w:rsidRDefault="00440BDD">
      <w:pPr>
        <w:spacing w:before="40"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6"/>
      </w:tblGrid>
      <w:tr w:rsidR="00626B48" w14:paraId="127DDA9C" w14:textId="77777777">
        <w:tc>
          <w:tcPr>
            <w:tcW w:w="9506" w:type="dxa"/>
            <w:tcBorders>
              <w:top w:val="none" w:sz="0" w:space="0" w:color="FFFFFF"/>
              <w:left w:val="none" w:sz="0" w:space="0" w:color="FFFFFF"/>
              <w:bottom w:val="none" w:sz="0" w:space="0" w:color="FFFFFF"/>
              <w:right w:val="none" w:sz="0" w:space="0" w:color="FFFFFF"/>
            </w:tcBorders>
            <w:shd w:val="clear" w:color="auto" w:fill="0A2342"/>
            <w:tcMar>
              <w:top w:w="140" w:type="dxa"/>
              <w:left w:w="200" w:type="dxa"/>
              <w:bottom w:w="140" w:type="dxa"/>
              <w:right w:w="200" w:type="dxa"/>
            </w:tcMar>
          </w:tcPr>
          <w:p w14:paraId="1167B6D5" w14:textId="77777777" w:rsidR="00626B48" w:rsidRDefault="00000000">
            <w:pPr>
              <w:spacing w:before="60" w:after="80"/>
              <w:jc w:val="center"/>
            </w:pPr>
            <w:r>
              <w:rPr>
                <w:rFonts w:ascii="Arial" w:eastAsia="Arial" w:hAnsi="Arial" w:cs="Arial"/>
                <w:b/>
                <w:bCs/>
                <w:color w:val="02C39A"/>
                <w:sz w:val="26"/>
                <w:szCs w:val="26"/>
              </w:rPr>
              <w:t>S'inscrire à cette formation</w:t>
            </w:r>
          </w:p>
          <w:p w14:paraId="52DDCB2A" w14:textId="248E96A1" w:rsidR="00626B48" w:rsidRDefault="00000000">
            <w:pPr>
              <w:spacing w:after="40"/>
              <w:jc w:val="center"/>
            </w:pPr>
            <w:proofErr w:type="gramStart"/>
            <w:r>
              <w:rPr>
                <w:rFonts w:ascii="Arial" w:eastAsia="Arial" w:hAnsi="Arial" w:cs="Arial"/>
                <w:color w:val="FFFFFF"/>
                <w:sz w:val="22"/>
                <w:szCs w:val="22"/>
              </w:rPr>
              <w:t>📧  contact@meds-link.</w:t>
            </w:r>
            <w:r w:rsidR="009D7AE9">
              <w:rPr>
                <w:rFonts w:ascii="Arial" w:eastAsia="Arial" w:hAnsi="Arial" w:cs="Arial"/>
                <w:color w:val="FFFFFF"/>
                <w:sz w:val="22"/>
                <w:szCs w:val="22"/>
              </w:rPr>
              <w:t>com</w:t>
            </w:r>
            <w:proofErr w:type="gramEnd"/>
          </w:p>
          <w:p w14:paraId="21C7F688" w14:textId="0633CC72" w:rsidR="00626B48" w:rsidRDefault="00000000">
            <w:pPr>
              <w:spacing w:after="60"/>
              <w:jc w:val="center"/>
            </w:pPr>
            <w:r>
              <w:rPr>
                <w:rFonts w:ascii="Arial" w:eastAsia="Arial" w:hAnsi="Arial" w:cs="Arial"/>
                <w:color w:val="FFFFFF"/>
                <w:sz w:val="22"/>
                <w:szCs w:val="22"/>
              </w:rPr>
              <w:t>🌐  www.meds-link.</w:t>
            </w:r>
            <w:r w:rsidR="009D7AE9">
              <w:rPr>
                <w:rFonts w:ascii="Arial" w:eastAsia="Arial" w:hAnsi="Arial" w:cs="Arial"/>
                <w:color w:val="FFFFFF"/>
                <w:sz w:val="22"/>
                <w:szCs w:val="22"/>
              </w:rPr>
              <w:t>com</w:t>
            </w:r>
          </w:p>
          <w:p w14:paraId="0F4984F1" w14:textId="77777777" w:rsidR="00626B48" w:rsidRDefault="00000000">
            <w:pPr>
              <w:jc w:val="center"/>
            </w:pPr>
            <w:r>
              <w:rPr>
                <w:rFonts w:ascii="Arial" w:eastAsia="Arial" w:hAnsi="Arial" w:cs="Arial"/>
                <w:color w:val="02C39A"/>
                <w:sz w:val="18"/>
                <w:szCs w:val="18"/>
              </w:rPr>
              <w:t>Formation éligible OPCO — Renseignez-vous auprès de votre organisme collecteur</w:t>
            </w:r>
          </w:p>
        </w:tc>
      </w:tr>
    </w:tbl>
    <w:p w14:paraId="013849F9" w14:textId="77777777" w:rsidR="00626B48" w:rsidRDefault="00626B48">
      <w:pPr>
        <w:spacing w:before="40" w:after="40"/>
      </w:pPr>
    </w:p>
    <w:sectPr w:rsidR="00626B48">
      <w:headerReference w:type="default" r:id="rId7"/>
      <w:footerReference w:type="even" r:id="rId8"/>
      <w:footerReference w:type="default" r:id="rId9"/>
      <w:pgSz w:w="11906" w:h="16838"/>
      <w:pgMar w:top="1000" w:right="1200" w:bottom="10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A1C0" w14:textId="77777777" w:rsidR="00F37282" w:rsidRDefault="00F37282">
      <w:r>
        <w:separator/>
      </w:r>
    </w:p>
  </w:endnote>
  <w:endnote w:type="continuationSeparator" w:id="0">
    <w:p w14:paraId="4FD3F7BB" w14:textId="77777777" w:rsidR="00F37282" w:rsidRDefault="00F3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45162223"/>
      <w:docPartObj>
        <w:docPartGallery w:val="Page Numbers (Bottom of Page)"/>
        <w:docPartUnique/>
      </w:docPartObj>
    </w:sdtPr>
    <w:sdtContent>
      <w:p w14:paraId="06DBF058" w14:textId="1F643F16" w:rsidR="001360BB" w:rsidRDefault="001360BB" w:rsidP="008701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21F9CA8B" w14:textId="77777777" w:rsidR="001360BB" w:rsidRDefault="001360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27661459"/>
      <w:docPartObj>
        <w:docPartGallery w:val="Page Numbers (Bottom of Page)"/>
        <w:docPartUnique/>
      </w:docPartObj>
    </w:sdtPr>
    <w:sdtContent>
      <w:p w14:paraId="10E5802C" w14:textId="63B754B4" w:rsidR="001360BB" w:rsidRDefault="001360BB" w:rsidP="0087017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5DA7FEC4" w14:textId="77777777" w:rsidR="001360BB" w:rsidRDefault="001360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DA6E6" w14:textId="77777777" w:rsidR="00F37282" w:rsidRDefault="00F37282">
      <w:r>
        <w:separator/>
      </w:r>
    </w:p>
  </w:footnote>
  <w:footnote w:type="continuationSeparator" w:id="0">
    <w:p w14:paraId="32A2CB06" w14:textId="77777777" w:rsidR="00F37282" w:rsidRDefault="00F3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0"/>
      <w:gridCol w:w="4706"/>
    </w:tblGrid>
    <w:tr w:rsidR="00626B48" w14:paraId="793DA4C9" w14:textId="77777777">
      <w:tc>
        <w:tcPr>
          <w:tcW w:w="4800" w:type="dxa"/>
          <w:tcBorders>
            <w:top w:val="none" w:sz="0" w:space="0" w:color="FFFFFF"/>
            <w:left w:val="none" w:sz="0" w:space="0" w:color="FFFFFF"/>
            <w:bottom w:val="none" w:sz="0" w:space="0" w:color="FFFFFF"/>
            <w:right w:val="none" w:sz="0" w:space="0" w:color="FFFFFF"/>
          </w:tcBorders>
          <w:shd w:val="clear" w:color="auto" w:fill="0A2342"/>
          <w:tcMar>
            <w:top w:w="80" w:type="dxa"/>
            <w:left w:w="160" w:type="dxa"/>
            <w:bottom w:w="80" w:type="dxa"/>
            <w:right w:w="0" w:type="dxa"/>
          </w:tcMar>
        </w:tcPr>
        <w:p w14:paraId="46C3872C" w14:textId="77777777" w:rsidR="00626B48" w:rsidRDefault="00000000">
          <w:r>
            <w:rPr>
              <w:rFonts w:ascii="Arial" w:eastAsia="Arial" w:hAnsi="Arial" w:cs="Arial"/>
              <w:b/>
              <w:bCs/>
              <w:color w:val="02C39A"/>
              <w:sz w:val="26"/>
              <w:szCs w:val="26"/>
            </w:rPr>
            <w:t>MEDS-</w:t>
          </w:r>
          <w:proofErr w:type="gramStart"/>
          <w:r>
            <w:rPr>
              <w:rFonts w:ascii="Arial" w:eastAsia="Arial" w:hAnsi="Arial" w:cs="Arial"/>
              <w:b/>
              <w:bCs/>
              <w:color w:val="02C39A"/>
              <w:sz w:val="26"/>
              <w:szCs w:val="26"/>
            </w:rPr>
            <w:t>LINK</w:t>
          </w:r>
          <w:r>
            <w:rPr>
              <w:rFonts w:ascii="Arial" w:eastAsia="Arial" w:hAnsi="Arial" w:cs="Arial"/>
              <w:color w:val="E2E8F0"/>
            </w:rPr>
            <w:t xml:space="preserve">  |</w:t>
          </w:r>
          <w:proofErr w:type="gramEnd"/>
          <w:r>
            <w:rPr>
              <w:rFonts w:ascii="Arial" w:eastAsia="Arial" w:hAnsi="Arial" w:cs="Arial"/>
              <w:color w:val="E2E8F0"/>
            </w:rPr>
            <w:t xml:space="preserve">  Fiche de Formation</w:t>
          </w:r>
        </w:p>
      </w:tc>
      <w:tc>
        <w:tcPr>
          <w:tcW w:w="4706" w:type="dxa"/>
          <w:tcBorders>
            <w:top w:val="none" w:sz="0" w:space="0" w:color="FFFFFF"/>
            <w:left w:val="none" w:sz="0" w:space="0" w:color="FFFFFF"/>
            <w:bottom w:val="none" w:sz="0" w:space="0" w:color="FFFFFF"/>
            <w:right w:val="none" w:sz="0" w:space="0" w:color="FFFFFF"/>
          </w:tcBorders>
          <w:shd w:val="clear" w:color="auto" w:fill="0A2342"/>
          <w:tcMar>
            <w:top w:w="80" w:type="dxa"/>
            <w:left w:w="0" w:type="dxa"/>
            <w:bottom w:w="80" w:type="dxa"/>
            <w:right w:w="160" w:type="dxa"/>
          </w:tcMar>
        </w:tcPr>
        <w:p w14:paraId="56258A76" w14:textId="0FDF7616" w:rsidR="00626B48" w:rsidRDefault="00000000">
          <w:pPr>
            <w:jc w:val="right"/>
          </w:pPr>
          <w:r>
            <w:rPr>
              <w:rFonts w:ascii="Arial" w:eastAsia="Arial" w:hAnsi="Arial" w:cs="Arial"/>
              <w:color w:val="02C39A"/>
              <w:sz w:val="18"/>
              <w:szCs w:val="18"/>
            </w:rPr>
            <w:t>E-</w:t>
          </w:r>
          <w:proofErr w:type="gramStart"/>
          <w:r>
            <w:rPr>
              <w:rFonts w:ascii="Arial" w:eastAsia="Arial" w:hAnsi="Arial" w:cs="Arial"/>
              <w:color w:val="02C39A"/>
              <w:sz w:val="18"/>
              <w:szCs w:val="18"/>
            </w:rPr>
            <w:t>Learning  |</w:t>
          </w:r>
          <w:proofErr w:type="gramEnd"/>
          <w:r>
            <w:rPr>
              <w:rFonts w:ascii="Arial" w:eastAsia="Arial" w:hAnsi="Arial" w:cs="Arial"/>
              <w:color w:val="02C39A"/>
              <w:sz w:val="18"/>
              <w:szCs w:val="18"/>
            </w:rPr>
            <w:t xml:space="preserve">  202</w:t>
          </w:r>
          <w:r w:rsidR="009D7AE9">
            <w:rPr>
              <w:rFonts w:ascii="Arial" w:eastAsia="Arial" w:hAnsi="Arial" w:cs="Arial"/>
              <w:color w:val="02C39A"/>
              <w:sz w:val="18"/>
              <w:szCs w:val="18"/>
            </w:rPr>
            <w:t>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843CA"/>
    <w:multiLevelType w:val="hybridMultilevel"/>
    <w:tmpl w:val="B442DF50"/>
    <w:lvl w:ilvl="0" w:tplc="B3985EBA">
      <w:start w:val="1"/>
      <w:numFmt w:val="bullet"/>
      <w:lvlText w:val="●"/>
      <w:lvlJc w:val="left"/>
      <w:pPr>
        <w:ind w:left="720" w:hanging="360"/>
      </w:pPr>
    </w:lvl>
    <w:lvl w:ilvl="1" w:tplc="866ED050">
      <w:start w:val="1"/>
      <w:numFmt w:val="bullet"/>
      <w:lvlText w:val="○"/>
      <w:lvlJc w:val="left"/>
      <w:pPr>
        <w:ind w:left="1440" w:hanging="360"/>
      </w:pPr>
    </w:lvl>
    <w:lvl w:ilvl="2" w:tplc="2F9A88FC">
      <w:start w:val="1"/>
      <w:numFmt w:val="bullet"/>
      <w:lvlText w:val="■"/>
      <w:lvlJc w:val="left"/>
      <w:pPr>
        <w:ind w:left="2160" w:hanging="360"/>
      </w:pPr>
    </w:lvl>
    <w:lvl w:ilvl="3" w:tplc="A95491B6">
      <w:start w:val="1"/>
      <w:numFmt w:val="bullet"/>
      <w:lvlText w:val="●"/>
      <w:lvlJc w:val="left"/>
      <w:pPr>
        <w:ind w:left="2880" w:hanging="360"/>
      </w:pPr>
    </w:lvl>
    <w:lvl w:ilvl="4" w:tplc="8E6ADC2C">
      <w:start w:val="1"/>
      <w:numFmt w:val="bullet"/>
      <w:lvlText w:val="○"/>
      <w:lvlJc w:val="left"/>
      <w:pPr>
        <w:ind w:left="3600" w:hanging="360"/>
      </w:pPr>
    </w:lvl>
    <w:lvl w:ilvl="5" w:tplc="2524550C">
      <w:start w:val="1"/>
      <w:numFmt w:val="bullet"/>
      <w:lvlText w:val="■"/>
      <w:lvlJc w:val="left"/>
      <w:pPr>
        <w:ind w:left="4320" w:hanging="360"/>
      </w:pPr>
    </w:lvl>
    <w:lvl w:ilvl="6" w:tplc="32D808E4">
      <w:start w:val="1"/>
      <w:numFmt w:val="bullet"/>
      <w:lvlText w:val="●"/>
      <w:lvlJc w:val="left"/>
      <w:pPr>
        <w:ind w:left="5040" w:hanging="360"/>
      </w:pPr>
    </w:lvl>
    <w:lvl w:ilvl="7" w:tplc="5A62EA4C">
      <w:start w:val="1"/>
      <w:numFmt w:val="bullet"/>
      <w:lvlText w:val="●"/>
      <w:lvlJc w:val="left"/>
      <w:pPr>
        <w:ind w:left="5760" w:hanging="360"/>
      </w:pPr>
    </w:lvl>
    <w:lvl w:ilvl="8" w:tplc="2272C116">
      <w:start w:val="1"/>
      <w:numFmt w:val="bullet"/>
      <w:lvlText w:val="●"/>
      <w:lvlJc w:val="left"/>
      <w:pPr>
        <w:ind w:left="6480" w:hanging="360"/>
      </w:pPr>
    </w:lvl>
  </w:abstractNum>
  <w:abstractNum w:abstractNumId="1" w15:restartNumberingAfterBreak="0">
    <w:nsid w:val="2E7A2A14"/>
    <w:multiLevelType w:val="hybridMultilevel"/>
    <w:tmpl w:val="FE1ADBC2"/>
    <w:lvl w:ilvl="0" w:tplc="2926EC36">
      <w:start w:val="1"/>
      <w:numFmt w:val="bullet"/>
      <w:lvlText w:val="•"/>
      <w:lvlJc w:val="left"/>
      <w:pPr>
        <w:ind w:left="720" w:hanging="360"/>
      </w:pPr>
    </w:lvl>
    <w:lvl w:ilvl="1" w:tplc="6CD002F6">
      <w:numFmt w:val="decimal"/>
      <w:lvlText w:val=""/>
      <w:lvlJc w:val="left"/>
    </w:lvl>
    <w:lvl w:ilvl="2" w:tplc="EECCA65E">
      <w:numFmt w:val="decimal"/>
      <w:lvlText w:val=""/>
      <w:lvlJc w:val="left"/>
    </w:lvl>
    <w:lvl w:ilvl="3" w:tplc="1110F070">
      <w:numFmt w:val="decimal"/>
      <w:lvlText w:val=""/>
      <w:lvlJc w:val="left"/>
    </w:lvl>
    <w:lvl w:ilvl="4" w:tplc="B7DE5CD8">
      <w:numFmt w:val="decimal"/>
      <w:lvlText w:val=""/>
      <w:lvlJc w:val="left"/>
    </w:lvl>
    <w:lvl w:ilvl="5" w:tplc="389624DE">
      <w:numFmt w:val="decimal"/>
      <w:lvlText w:val=""/>
      <w:lvlJc w:val="left"/>
    </w:lvl>
    <w:lvl w:ilvl="6" w:tplc="B272636E">
      <w:numFmt w:val="decimal"/>
      <w:lvlText w:val=""/>
      <w:lvlJc w:val="left"/>
    </w:lvl>
    <w:lvl w:ilvl="7" w:tplc="DE32B1AC">
      <w:numFmt w:val="decimal"/>
      <w:lvlText w:val=""/>
      <w:lvlJc w:val="left"/>
    </w:lvl>
    <w:lvl w:ilvl="8" w:tplc="BEC29E7C">
      <w:numFmt w:val="decimal"/>
      <w:lvlText w:val=""/>
      <w:lvlJc w:val="left"/>
    </w:lvl>
  </w:abstractNum>
  <w:num w:numId="1" w16cid:durableId="317809119">
    <w:abstractNumId w:val="0"/>
    <w:lvlOverride w:ilvl="0">
      <w:startOverride w:val="1"/>
    </w:lvlOverride>
  </w:num>
  <w:num w:numId="2" w16cid:durableId="139843444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48"/>
    <w:rsid w:val="001360BB"/>
    <w:rsid w:val="00440BDD"/>
    <w:rsid w:val="0051767C"/>
    <w:rsid w:val="00626B48"/>
    <w:rsid w:val="0079594C"/>
    <w:rsid w:val="009D7AE9"/>
    <w:rsid w:val="00AD17A8"/>
    <w:rsid w:val="00C52F8E"/>
    <w:rsid w:val="00E173FB"/>
    <w:rsid w:val="00F372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71F7334"/>
  <w15:docId w15:val="{C7F887E4-FEB2-7946-8E55-D3BA363C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9D7AE9"/>
    <w:pPr>
      <w:tabs>
        <w:tab w:val="center" w:pos="4536"/>
        <w:tab w:val="right" w:pos="9072"/>
      </w:tabs>
    </w:pPr>
  </w:style>
  <w:style w:type="character" w:customStyle="1" w:styleId="En-tteCar">
    <w:name w:val="En-tête Car"/>
    <w:basedOn w:val="Policepardfaut"/>
    <w:link w:val="En-tte"/>
    <w:uiPriority w:val="99"/>
    <w:rsid w:val="009D7AE9"/>
  </w:style>
  <w:style w:type="paragraph" w:styleId="Pieddepage">
    <w:name w:val="footer"/>
    <w:basedOn w:val="Normal"/>
    <w:link w:val="PieddepageCar"/>
    <w:uiPriority w:val="99"/>
    <w:unhideWhenUsed/>
    <w:rsid w:val="009D7AE9"/>
    <w:pPr>
      <w:tabs>
        <w:tab w:val="center" w:pos="4536"/>
        <w:tab w:val="right" w:pos="9072"/>
      </w:tabs>
    </w:pPr>
  </w:style>
  <w:style w:type="character" w:customStyle="1" w:styleId="PieddepageCar">
    <w:name w:val="Pied de page Car"/>
    <w:basedOn w:val="Policepardfaut"/>
    <w:link w:val="Pieddepage"/>
    <w:uiPriority w:val="99"/>
    <w:rsid w:val="009D7AE9"/>
  </w:style>
  <w:style w:type="character" w:styleId="Numrodepage">
    <w:name w:val="page number"/>
    <w:basedOn w:val="Policepardfaut"/>
    <w:uiPriority w:val="99"/>
    <w:semiHidden/>
    <w:unhideWhenUsed/>
    <w:rsid w:val="0013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692</Words>
  <Characters>3809</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Sylvia Boutiere</cp:lastModifiedBy>
  <cp:revision>5</cp:revision>
  <dcterms:created xsi:type="dcterms:W3CDTF">2026-03-16T23:17:00Z</dcterms:created>
  <dcterms:modified xsi:type="dcterms:W3CDTF">2026-03-17T00:26:00Z</dcterms:modified>
</cp:coreProperties>
</file>